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86" w:rsidRPr="006E2598" w:rsidRDefault="004B1386" w:rsidP="00FE0F41">
      <w:pPr>
        <w:spacing w:line="360" w:lineRule="auto"/>
        <w:ind w:left="-480" w:right="70"/>
        <w:jc w:val="center"/>
        <w:rPr>
          <w:b/>
          <w:sz w:val="28"/>
          <w:szCs w:val="28"/>
        </w:rPr>
      </w:pPr>
      <w:r w:rsidRPr="006E2598">
        <w:rPr>
          <w:b/>
          <w:sz w:val="28"/>
          <w:szCs w:val="28"/>
        </w:rPr>
        <w:t>Рецензия  на выпускную квалификационную работу магистра</w:t>
      </w:r>
    </w:p>
    <w:p w:rsidR="004B1386" w:rsidRPr="006E2598" w:rsidRDefault="004B1386" w:rsidP="00FE0F41">
      <w:pPr>
        <w:spacing w:line="360" w:lineRule="auto"/>
        <w:jc w:val="center"/>
        <w:rPr>
          <w:b/>
          <w:sz w:val="28"/>
          <w:szCs w:val="28"/>
        </w:rPr>
      </w:pPr>
      <w:r w:rsidRPr="006E2598">
        <w:rPr>
          <w:b/>
          <w:sz w:val="28"/>
          <w:szCs w:val="28"/>
        </w:rPr>
        <w:t>Агаяровой Фидан Эхтибаровны</w:t>
      </w:r>
    </w:p>
    <w:p w:rsidR="004B1386" w:rsidRPr="006E2598" w:rsidRDefault="004B1386" w:rsidP="00FE0F41">
      <w:pPr>
        <w:spacing w:line="360" w:lineRule="auto"/>
        <w:jc w:val="center"/>
        <w:rPr>
          <w:b/>
          <w:sz w:val="28"/>
          <w:szCs w:val="28"/>
        </w:rPr>
      </w:pPr>
      <w:r w:rsidRPr="006E2598">
        <w:rPr>
          <w:b/>
          <w:sz w:val="28"/>
          <w:szCs w:val="28"/>
        </w:rPr>
        <w:t xml:space="preserve">«Синонимия терминов в научно-популярном дискурсе (на материале электронной версии журнала </w:t>
      </w:r>
      <w:r w:rsidRPr="006E2598">
        <w:rPr>
          <w:b/>
          <w:sz w:val="28"/>
          <w:szCs w:val="28"/>
          <w:lang w:val="en-US"/>
        </w:rPr>
        <w:t>Spiegel</w:t>
      </w:r>
      <w:r w:rsidRPr="006E2598">
        <w:rPr>
          <w:b/>
          <w:sz w:val="28"/>
          <w:szCs w:val="28"/>
        </w:rPr>
        <w:t>»</w:t>
      </w:r>
    </w:p>
    <w:p w:rsidR="004B1386" w:rsidRPr="006E2598" w:rsidRDefault="004B1386" w:rsidP="00FE0F41">
      <w:pPr>
        <w:spacing w:line="360" w:lineRule="auto"/>
        <w:jc w:val="center"/>
        <w:rPr>
          <w:sz w:val="28"/>
          <w:szCs w:val="28"/>
        </w:rPr>
      </w:pP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Работа  Фидан Эхтибаровны посвящена очень интересной и, в силу ее недостаточной исследованности, благодатной теме. Как утверждает автор работы, термин как средство выражения, хранения и передачи знаний до сих пор не рассматривался ни в России, ни за рубежом именно с точки зрения синонимии в рамках научно-популярного дискурса, хотя «он осуществляет ключевую связь  между научно-популярным языком СМИ и научным стилем» Уже это говорит о новаторстве в работе, о ее актуальности и научной новизне. 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Хочу сразу же сказать, что дипломное сочинение   Фидан Эхтибаровны является тщательно проведенным, глубоким и интересным исследованием. Хотелось бы также отметить, что работа написана хорошим русским языком и содержит минимальное количество опечаток и ошибок.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Работа не свободна от некоторых спорных моментов, но к вопросам я  буду обращаться в  процессе моего выступления</w:t>
      </w:r>
    </w:p>
    <w:p w:rsidR="004B1386" w:rsidRPr="006E2598" w:rsidRDefault="004B1386" w:rsidP="00FE0F41">
      <w:pPr>
        <w:spacing w:line="360" w:lineRule="auto"/>
        <w:ind w:left="-480" w:right="70" w:firstLine="15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Исследование состоит из Введения, 3 глав, Заключения,  списка  использованной литературы, насчитывающего 122 названия, в том числе 17 словарей и 9 электронных источников. Объем работы в целом составляет 130  страниц, 25 из которых приходится на Приложения. План меня немного озадачил: Введение по количеству страниц равно 1-й главе, а глава 3 вдвое больше 1-й и 2-й вместе взятых. Может быть, было бы целесообразно объединить две первые главы в одну?</w:t>
      </w:r>
    </w:p>
    <w:p w:rsidR="004B1386" w:rsidRPr="006E2598" w:rsidRDefault="004B1386" w:rsidP="0077325F">
      <w:pPr>
        <w:spacing w:line="360" w:lineRule="auto"/>
        <w:ind w:left="-48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Во  </w:t>
      </w:r>
      <w:r w:rsidRPr="006E2598">
        <w:rPr>
          <w:sz w:val="28"/>
          <w:szCs w:val="28"/>
          <w:u w:val="single"/>
        </w:rPr>
        <w:t>Введении</w:t>
      </w:r>
      <w:r w:rsidRPr="006E2598">
        <w:rPr>
          <w:sz w:val="28"/>
          <w:szCs w:val="28"/>
        </w:rPr>
        <w:t xml:space="preserve">, как и положено, оговариваются актуальность темы, цель и задачи работы.  Объектом исследования автор выбрал ряд (около 1000) научно-популярных статей немецкого сетевого журнала </w:t>
      </w:r>
      <w:r w:rsidRPr="006E2598">
        <w:rPr>
          <w:sz w:val="28"/>
          <w:szCs w:val="28"/>
          <w:lang w:val="en-US"/>
        </w:rPr>
        <w:t>Spiegel</w:t>
      </w:r>
      <w:r w:rsidRPr="006E2598">
        <w:rPr>
          <w:sz w:val="28"/>
          <w:szCs w:val="28"/>
        </w:rPr>
        <w:t>, выбрав из них 410 примеров.</w:t>
      </w:r>
    </w:p>
    <w:p w:rsidR="004B1386" w:rsidRPr="006E2598" w:rsidRDefault="004B1386" w:rsidP="00FE0F41">
      <w:pPr>
        <w:spacing w:line="360" w:lineRule="auto"/>
        <w:ind w:left="-48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О целях, задачах и исследовательских методах работы  Фидан Эхтибаровна сказала в своей речи, и, думаю, нет смысла повторяться. 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      </w:t>
      </w:r>
      <w:r w:rsidRPr="006E2598">
        <w:rPr>
          <w:sz w:val="28"/>
          <w:szCs w:val="28"/>
          <w:u w:val="single"/>
        </w:rPr>
        <w:t>В Главе 1</w:t>
      </w:r>
      <w:r w:rsidRPr="006E2598">
        <w:rPr>
          <w:sz w:val="28"/>
          <w:szCs w:val="28"/>
        </w:rPr>
        <w:t>, состоящей из 3 параграфов, Фидан Эхтибаровна , опираясь на авторитетные мнения таких авторов как   Суперанская, Асмус, Лотте и др., дает определение термина и его связи с понятием. Увлекшись дефинициями, автор приводит 13 определений термина. Перечисляются и основные типы терминов – исконные и заимствованные, производные и непроизводные, эллиптические и аббревиатурные и др. В 3-ем параграфе речь идет о синонимии в терминоведении и соотношении синонимии и варианта. В выводах ФЭ принимает за отправную точку позицию Хижняка в том, что касается терминов, и классификации. Гринева-Гриневича в том, что касается терминов-синонимов.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  </w:t>
      </w:r>
      <w:r w:rsidRPr="006E2598">
        <w:rPr>
          <w:sz w:val="28"/>
          <w:szCs w:val="28"/>
          <w:u w:val="single"/>
        </w:rPr>
        <w:t>Глава 2</w:t>
      </w:r>
      <w:r w:rsidRPr="006E2598">
        <w:rPr>
          <w:sz w:val="28"/>
          <w:szCs w:val="28"/>
        </w:rPr>
        <w:t xml:space="preserve"> посвящена понятиям дискурса, медиадискурса и особенностям научно-популярного медийного дискурса, а также роли термина в медиадискурсе. Работа проделана скрупулезно, рассмотрены различные точки зрения и сделан вывод, не подлежащий сомнению. 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В Главе 3, практической,  проводится анализ терминов-синонимов в научно-популярных статьях электронной версии  статей немецкого сетевого журнала </w:t>
      </w:r>
      <w:r w:rsidRPr="006E2598">
        <w:rPr>
          <w:sz w:val="28"/>
          <w:szCs w:val="28"/>
          <w:lang w:val="en-US"/>
        </w:rPr>
        <w:t>Spiegel</w:t>
      </w:r>
      <w:r w:rsidRPr="006E2598">
        <w:rPr>
          <w:sz w:val="28"/>
          <w:szCs w:val="28"/>
        </w:rPr>
        <w:t>. В качестве анализируемого материала были привлечены статьи из рубрик  Медицина, Техника и Человек. Оговорюсь сразу же, что     примеры из рубрики  Человек в работе можно пересчитать по пальцам одной руки (хота ФЭ утверждает, что их было 35), в отличие от примеров из рубрики Медицина. Почему были выбраны именно эти рубрики? Думается по темам Обучение или Искусство можно было найти больше примеров. Тем более, что в диаграмме и таблице на стр. 130 и 131 автор не упоминает рубрику Человек, но ссылается на примеры по Архитектуре и Кино.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Рассмотрев и проанализировав все 400 примеров, автор делает вывод о том, что  «наряду с терминологическими синонимами можно выделить варианты терминов и что разграничение таких понятий как синонимия и вариантность лежит не в плоскости не в плане содержания и функции языкового знака, а в плане выражения, сотнесенногоо со способностью знака при помощи различных языковых средств выражать одно и то же понятие.»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Мне кажется, что некоторые разделы этой главы, в частности разделы о дублетных наименованиях и эпонимных терминах являются полностью самостоятельными и, в определенной степени, новаторскими.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Ни один из выводов, сделанных Фидан Эхтибаровной в Заключении,</w:t>
      </w:r>
    </w:p>
    <w:p w:rsidR="004B1386" w:rsidRPr="006E2598" w:rsidRDefault="004B1386" w:rsidP="00345E87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не может быть подвергнут сомнению. Они логичны, закономерны и убедительны.</w:t>
      </w:r>
    </w:p>
    <w:p w:rsidR="004B1386" w:rsidRPr="006E2598" w:rsidRDefault="004B1386" w:rsidP="00345E87">
      <w:pPr>
        <w:spacing w:line="360" w:lineRule="auto"/>
        <w:ind w:left="-48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 Тема работы соответствует проблематике специальности;  исследование удовлетворяет требованиям актуальности и новизны. ФЭ</w:t>
      </w:r>
      <w:r w:rsidRPr="006E2598">
        <w:rPr>
          <w:rFonts w:eastAsia="Times New Roman"/>
          <w:sz w:val="28"/>
          <w:szCs w:val="28"/>
        </w:rPr>
        <w:t xml:space="preserve"> </w:t>
      </w:r>
      <w:r w:rsidRPr="006E2598">
        <w:rPr>
          <w:sz w:val="28"/>
          <w:szCs w:val="28"/>
        </w:rPr>
        <w:t xml:space="preserve"> проявила глубокое понимание теоретических вопросов, связанных с заявленной темой, и предложила оптимальные пути их разрешения. Содержание работы и сделанные выводы показывают, что цели, поставленные перед исследованием, достигнуты, конкретные задачи получили полное и аргументированное решение.</w:t>
      </w:r>
    </w:p>
    <w:p w:rsidR="004B1386" w:rsidRPr="006E2598" w:rsidRDefault="004B1386" w:rsidP="00345E87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  Все же хотелось бы задать   автору  этой интересной работы несколько вопросов:  1. В конце работы находятся 25 страниц, где практические нечитаемым мелким шрифтом перечислены все подвергшиеся (и не подвергшиеся) анализу найденные примеры. Причем непонятна подача примеров – не по алфавиту, не по тематике, с детальным перечислением сайтов (То же  указывается и в тексте). Зачем это сделано, для меня осталось загадкой. И здесь же – почему взята именно электронная версия?</w:t>
      </w:r>
    </w:p>
    <w:p w:rsidR="004B1386" w:rsidRPr="006E2598" w:rsidRDefault="004B1386" w:rsidP="00345E87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С. 16 – говоря о терминах с точки зрения формы, Вы пишете о корневых и сложных словах, хотя в дальнейшем приводите примеры и с производными совами.</w:t>
      </w:r>
    </w:p>
    <w:p w:rsidR="004B1386" w:rsidRPr="006E2598" w:rsidRDefault="004B1386" w:rsidP="00345E87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С. 26 К сожалению, нет примеров на полные и квазиэквиваленты, хотя есть примеры на разновременные и региональные. 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С. 40 –  появляется новый термин – гедонистическая составляющая как одна из целей коммуникации. Пример?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 xml:space="preserve">С. 81 – пример  с синонимами </w:t>
      </w:r>
      <w:r w:rsidRPr="006E2598">
        <w:rPr>
          <w:sz w:val="28"/>
          <w:szCs w:val="28"/>
          <w:lang w:val="en-US"/>
        </w:rPr>
        <w:t>Ventilator</w:t>
      </w:r>
      <w:r w:rsidRPr="006E2598">
        <w:rPr>
          <w:sz w:val="28"/>
          <w:szCs w:val="28"/>
        </w:rPr>
        <w:t xml:space="preserve"> – </w:t>
      </w:r>
      <w:r w:rsidRPr="006E2598">
        <w:rPr>
          <w:sz w:val="28"/>
          <w:szCs w:val="28"/>
          <w:lang w:val="en-US"/>
        </w:rPr>
        <w:t>Gebl</w:t>
      </w:r>
      <w:r w:rsidRPr="006E2598">
        <w:rPr>
          <w:sz w:val="28"/>
          <w:szCs w:val="28"/>
        </w:rPr>
        <w:t>ä</w:t>
      </w:r>
      <w:r w:rsidRPr="006E2598">
        <w:rPr>
          <w:sz w:val="28"/>
          <w:szCs w:val="28"/>
          <w:lang w:val="en-US"/>
        </w:rPr>
        <w:t>se</w:t>
      </w:r>
      <w:r w:rsidRPr="006E2598">
        <w:rPr>
          <w:sz w:val="28"/>
          <w:szCs w:val="28"/>
        </w:rPr>
        <w:t xml:space="preserve">.  Мне кажется, что это разные понятия – прибор и действие, им совершаемое.  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В заключение хочу еще раз сказать, сделанные замечания ни в коей мере не снижают качества проделанной работы. Работа состоялась и, несомненно, заслуживает   положительной оценки</w:t>
      </w: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</w:p>
    <w:p w:rsidR="004B1386" w:rsidRPr="006E2598" w:rsidRDefault="004B1386" w:rsidP="00FE0F41">
      <w:pPr>
        <w:spacing w:line="360" w:lineRule="auto"/>
        <w:ind w:left="-480" w:right="70"/>
        <w:jc w:val="both"/>
        <w:rPr>
          <w:sz w:val="28"/>
          <w:szCs w:val="28"/>
        </w:rPr>
      </w:pPr>
      <w:r w:rsidRPr="006E2598">
        <w:rPr>
          <w:sz w:val="28"/>
          <w:szCs w:val="28"/>
        </w:rPr>
        <w:t>2.06.2013                              Доц. Подгорная Л.И.</w:t>
      </w:r>
    </w:p>
    <w:p w:rsidR="004B1386" w:rsidRPr="006E2598" w:rsidRDefault="004B1386" w:rsidP="00FE0F41">
      <w:pPr>
        <w:spacing w:line="360" w:lineRule="auto"/>
        <w:rPr>
          <w:sz w:val="28"/>
          <w:szCs w:val="28"/>
        </w:rPr>
      </w:pPr>
    </w:p>
    <w:p w:rsidR="004B1386" w:rsidRPr="006E2598" w:rsidRDefault="004B1386" w:rsidP="00FE0F41">
      <w:pPr>
        <w:spacing w:line="360" w:lineRule="auto"/>
        <w:rPr>
          <w:sz w:val="28"/>
          <w:szCs w:val="28"/>
        </w:rPr>
      </w:pPr>
    </w:p>
    <w:sectPr w:rsidR="004B1386" w:rsidRPr="006E2598" w:rsidSect="00B40C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F2B"/>
    <w:multiLevelType w:val="hybridMultilevel"/>
    <w:tmpl w:val="E530ECFC"/>
    <w:lvl w:ilvl="0" w:tplc="422622D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BB6"/>
    <w:rsid w:val="00090788"/>
    <w:rsid w:val="000C3BFF"/>
    <w:rsid w:val="0010384E"/>
    <w:rsid w:val="001A68CD"/>
    <w:rsid w:val="002622DF"/>
    <w:rsid w:val="002C4753"/>
    <w:rsid w:val="003104DA"/>
    <w:rsid w:val="003125BA"/>
    <w:rsid w:val="00345E87"/>
    <w:rsid w:val="003A472E"/>
    <w:rsid w:val="004967A9"/>
    <w:rsid w:val="004B1386"/>
    <w:rsid w:val="005217F3"/>
    <w:rsid w:val="006E2598"/>
    <w:rsid w:val="00714652"/>
    <w:rsid w:val="0077325F"/>
    <w:rsid w:val="007C4C51"/>
    <w:rsid w:val="007F1419"/>
    <w:rsid w:val="008B4E45"/>
    <w:rsid w:val="009C5638"/>
    <w:rsid w:val="009D18E7"/>
    <w:rsid w:val="009D56AD"/>
    <w:rsid w:val="00B40C3A"/>
    <w:rsid w:val="00B80E12"/>
    <w:rsid w:val="00CA2BB6"/>
    <w:rsid w:val="00CC257F"/>
    <w:rsid w:val="00D672F8"/>
    <w:rsid w:val="00D86C11"/>
    <w:rsid w:val="00DB21B0"/>
    <w:rsid w:val="00DF2C91"/>
    <w:rsid w:val="00EE6DB2"/>
    <w:rsid w:val="00F126DA"/>
    <w:rsid w:val="00F96C8C"/>
    <w:rsid w:val="00FC25C9"/>
    <w:rsid w:val="00FE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B6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871</Words>
  <Characters>4966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 на выпускную квалификационную работу магистра</dc:title>
  <dc:subject/>
  <dc:creator>Людмила</dc:creator>
  <cp:keywords/>
  <dc:description/>
  <cp:lastModifiedBy>SamLab.ws</cp:lastModifiedBy>
  <cp:revision>2</cp:revision>
  <cp:lastPrinted>2013-06-02T07:53:00Z</cp:lastPrinted>
  <dcterms:created xsi:type="dcterms:W3CDTF">2013-06-02T07:12:00Z</dcterms:created>
  <dcterms:modified xsi:type="dcterms:W3CDTF">2013-06-02T07:12:00Z</dcterms:modified>
</cp:coreProperties>
</file>