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3" w:rsidRPr="00D601DB" w:rsidRDefault="00C76501" w:rsidP="00F4092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3473" w:rsidRPr="00D601DB" w:rsidRDefault="00C76501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>на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выпускн</w:t>
      </w:r>
      <w:r w:rsidRPr="00D601DB">
        <w:rPr>
          <w:rFonts w:ascii="Times New Roman" w:hAnsi="Times New Roman" w:cs="Times New Roman"/>
          <w:sz w:val="28"/>
          <w:szCs w:val="28"/>
        </w:rPr>
        <w:t>ую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Pr="00D601DB">
        <w:rPr>
          <w:rFonts w:ascii="Times New Roman" w:hAnsi="Times New Roman" w:cs="Times New Roman"/>
          <w:sz w:val="28"/>
          <w:szCs w:val="28"/>
        </w:rPr>
        <w:t>ую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601DB">
        <w:rPr>
          <w:rFonts w:ascii="Times New Roman" w:hAnsi="Times New Roman" w:cs="Times New Roman"/>
          <w:sz w:val="28"/>
          <w:szCs w:val="28"/>
        </w:rPr>
        <w:t>у</w:t>
      </w:r>
      <w:r w:rsidR="00C43473" w:rsidRPr="00D601DB">
        <w:rPr>
          <w:rFonts w:ascii="Times New Roman" w:hAnsi="Times New Roman" w:cs="Times New Roman"/>
          <w:sz w:val="28"/>
          <w:szCs w:val="28"/>
        </w:rPr>
        <w:t xml:space="preserve"> магистра лингвистики</w:t>
      </w:r>
    </w:p>
    <w:p w:rsidR="00F40921" w:rsidRPr="00D601DB" w:rsidRDefault="00405B46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b/>
          <w:sz w:val="28"/>
          <w:szCs w:val="28"/>
        </w:rPr>
        <w:t>«Возраст человека в современном русском языке:</w:t>
      </w:r>
    </w:p>
    <w:p w:rsidR="00F40921" w:rsidRPr="00D601DB" w:rsidRDefault="00405B46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b/>
          <w:sz w:val="28"/>
          <w:szCs w:val="28"/>
        </w:rPr>
        <w:t xml:space="preserve"> лексико-синтаксические средства называния и описания </w:t>
      </w:r>
    </w:p>
    <w:p w:rsidR="00C43473" w:rsidRPr="00D601DB" w:rsidRDefault="00405B46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b/>
          <w:sz w:val="28"/>
          <w:szCs w:val="28"/>
        </w:rPr>
        <w:t>(на материале художестве</w:t>
      </w:r>
      <w:r w:rsidRPr="00D601DB">
        <w:rPr>
          <w:rFonts w:ascii="Times New Roman" w:hAnsi="Times New Roman" w:cs="Times New Roman"/>
          <w:b/>
          <w:sz w:val="28"/>
          <w:szCs w:val="28"/>
        </w:rPr>
        <w:t>н</w:t>
      </w:r>
      <w:r w:rsidRPr="00D601DB">
        <w:rPr>
          <w:rFonts w:ascii="Times New Roman" w:hAnsi="Times New Roman" w:cs="Times New Roman"/>
          <w:b/>
          <w:sz w:val="28"/>
          <w:szCs w:val="28"/>
        </w:rPr>
        <w:t>ной литературы)</w:t>
      </w:r>
      <w:r w:rsidR="00C43473" w:rsidRPr="00D601DB">
        <w:rPr>
          <w:rFonts w:ascii="Times New Roman" w:hAnsi="Times New Roman" w:cs="Times New Roman"/>
          <w:b/>
          <w:sz w:val="28"/>
          <w:szCs w:val="28"/>
        </w:rPr>
        <w:t>»</w:t>
      </w:r>
    </w:p>
    <w:p w:rsidR="00C43473" w:rsidRPr="00D601DB" w:rsidRDefault="00C43473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 xml:space="preserve">студентки кафедры русского языка как иностранного и методики его преподавания </w:t>
      </w:r>
      <w:proofErr w:type="spellStart"/>
      <w:r w:rsidR="00405B46" w:rsidRPr="00D601DB">
        <w:rPr>
          <w:rFonts w:ascii="Times New Roman" w:hAnsi="Times New Roman" w:cs="Times New Roman"/>
          <w:b/>
          <w:sz w:val="28"/>
          <w:szCs w:val="28"/>
        </w:rPr>
        <w:t>Чунь</w:t>
      </w:r>
      <w:proofErr w:type="spellEnd"/>
      <w:r w:rsidR="00405B46" w:rsidRPr="00D60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B46" w:rsidRPr="00D601DB">
        <w:rPr>
          <w:rFonts w:ascii="Times New Roman" w:hAnsi="Times New Roman" w:cs="Times New Roman"/>
          <w:b/>
          <w:sz w:val="28"/>
          <w:szCs w:val="28"/>
        </w:rPr>
        <w:t>Юми</w:t>
      </w:r>
      <w:proofErr w:type="spellEnd"/>
    </w:p>
    <w:p w:rsidR="00F40921" w:rsidRPr="00D601DB" w:rsidRDefault="00F40921" w:rsidP="00F40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AE8" w:rsidRPr="00D601DB" w:rsidRDefault="00C43473" w:rsidP="00F4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1DB">
        <w:rPr>
          <w:rFonts w:ascii="Times New Roman" w:hAnsi="Times New Roman" w:cs="Times New Roman"/>
          <w:sz w:val="28"/>
          <w:szCs w:val="28"/>
        </w:rPr>
        <w:tab/>
        <w:t>Выпускная квалификационная работа</w:t>
      </w:r>
      <w:r w:rsidR="00405B46" w:rsidRPr="00D601DB">
        <w:rPr>
          <w:rFonts w:ascii="Times New Roman" w:hAnsi="Times New Roman" w:cs="Times New Roman"/>
          <w:sz w:val="28"/>
          <w:szCs w:val="28"/>
        </w:rPr>
        <w:t xml:space="preserve"> студентки магистратуры </w:t>
      </w:r>
      <w:proofErr w:type="spellStart"/>
      <w:r w:rsidR="00405B46" w:rsidRPr="00D601DB">
        <w:rPr>
          <w:rFonts w:ascii="Times New Roman" w:hAnsi="Times New Roman" w:cs="Times New Roman"/>
          <w:sz w:val="28"/>
          <w:szCs w:val="28"/>
        </w:rPr>
        <w:t>Чунь</w:t>
      </w:r>
      <w:proofErr w:type="spellEnd"/>
      <w:r w:rsidR="00405B46" w:rsidRPr="00D60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B46" w:rsidRPr="00D601DB">
        <w:rPr>
          <w:rFonts w:ascii="Times New Roman" w:hAnsi="Times New Roman" w:cs="Times New Roman"/>
          <w:sz w:val="28"/>
          <w:szCs w:val="28"/>
        </w:rPr>
        <w:t>Юми</w:t>
      </w:r>
      <w:proofErr w:type="spellEnd"/>
      <w:r w:rsidRPr="00D601DB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405B46" w:rsidRPr="00D601DB">
        <w:rPr>
          <w:rFonts w:ascii="Times New Roman" w:hAnsi="Times New Roman" w:cs="Times New Roman"/>
          <w:sz w:val="28"/>
          <w:szCs w:val="28"/>
        </w:rPr>
        <w:t>изучению лексико-синтаксических средств вы</w:t>
      </w:r>
      <w:r w:rsidR="00EB1B62" w:rsidRPr="00D601DB">
        <w:rPr>
          <w:rFonts w:ascii="Times New Roman" w:hAnsi="Times New Roman" w:cs="Times New Roman"/>
          <w:sz w:val="28"/>
          <w:szCs w:val="28"/>
        </w:rPr>
        <w:t>ражения во</w:t>
      </w:r>
      <w:r w:rsidR="00EB1B62" w:rsidRPr="00D601DB">
        <w:rPr>
          <w:rFonts w:ascii="Times New Roman" w:hAnsi="Times New Roman" w:cs="Times New Roman"/>
          <w:sz w:val="28"/>
          <w:szCs w:val="28"/>
        </w:rPr>
        <w:t>з</w:t>
      </w:r>
      <w:r w:rsidR="00EB1B62" w:rsidRPr="00D601DB">
        <w:rPr>
          <w:rFonts w:ascii="Times New Roman" w:hAnsi="Times New Roman" w:cs="Times New Roman"/>
          <w:sz w:val="28"/>
          <w:szCs w:val="28"/>
        </w:rPr>
        <w:t>раста человека</w:t>
      </w:r>
      <w:r w:rsidR="00E255F1" w:rsidRPr="00D601DB">
        <w:rPr>
          <w:rFonts w:ascii="Times New Roman" w:hAnsi="Times New Roman" w:cs="Times New Roman"/>
          <w:sz w:val="28"/>
          <w:szCs w:val="28"/>
        </w:rPr>
        <w:t xml:space="preserve">. 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>Автор стремится выявить и описать основные способы выр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>жения возраста человека в совр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менном русском языке, классифицировать лексические единицы по лексико-тематическим группам с учетом структу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ных, словообразовательных и функционально-семантических характеристик, а также провести параллели между способами передачи возраста в ру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1B62" w:rsidRPr="00D601DB">
        <w:rPr>
          <w:rFonts w:ascii="Times New Roman" w:eastAsia="Times New Roman" w:hAnsi="Times New Roman" w:cs="Times New Roman"/>
          <w:sz w:val="28"/>
          <w:szCs w:val="28"/>
        </w:rPr>
        <w:t>ском и корейском языках.</w:t>
      </w:r>
      <w:r w:rsidR="00C1350D" w:rsidRPr="00D6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темы исследования обусловлена ее вкл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ченн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стью в проблематику современной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антропоцентрической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парадигмы изучения языка; частотностью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лексики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, описывающей возраст человека, в русской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разговорной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речи, в художественной литературе и публицистике; сложностью лексических единиц данной тематической группы для воспр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ятия и усвоения иностранными учащимися, в силу отл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чий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прагматического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компонента значения, национально-культурных ос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5AE8" w:rsidRPr="00D601DB">
        <w:rPr>
          <w:rFonts w:ascii="Times New Roman" w:hAnsi="Times New Roman" w:cs="Times New Roman"/>
          <w:sz w:val="28"/>
          <w:szCs w:val="28"/>
          <w:shd w:val="clear" w:color="auto" w:fill="FFFFFF"/>
        </w:rPr>
        <w:t>стей</w:t>
      </w:r>
      <w:r w:rsidR="00DF5AE8" w:rsidRPr="00D601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5AE8" w:rsidRPr="00D601DB">
        <w:rPr>
          <w:rStyle w:val="hl"/>
          <w:rFonts w:ascii="Times New Roman" w:hAnsi="Times New Roman" w:cs="Times New Roman"/>
          <w:sz w:val="28"/>
          <w:szCs w:val="28"/>
        </w:rPr>
        <w:t>употреб</w:t>
      </w:r>
      <w:r w:rsidR="00B02C62">
        <w:rPr>
          <w:rStyle w:val="hl"/>
          <w:rFonts w:ascii="Times New Roman" w:hAnsi="Times New Roman" w:cs="Times New Roman"/>
          <w:sz w:val="28"/>
          <w:szCs w:val="28"/>
        </w:rPr>
        <w:t xml:space="preserve">ления. </w:t>
      </w:r>
    </w:p>
    <w:p w:rsidR="00C1350D" w:rsidRPr="00D601DB" w:rsidRDefault="00C1350D" w:rsidP="00F409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D601DB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(138 страниц)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Введение, 2 главы, заключение, список использованной литерату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ры (50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), список слова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рей и учебных пос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бий. Кроме того, имеются 2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 тематическая группировка изучаемых лексических единиц</w:t>
      </w:r>
      <w:r w:rsidR="00EB1B6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основные способы </w:t>
      </w:r>
      <w:proofErr w:type="spellStart"/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семантиз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лексики по теме «Возраст» на корейский язык.  </w:t>
      </w:r>
    </w:p>
    <w:p w:rsidR="00795CC4" w:rsidRPr="00D601DB" w:rsidRDefault="00C1350D" w:rsidP="00D60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01DB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Во Введении лаконично, ёмко и корректно сформулированы актуал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работы, обозначены её цели и задачи, определены объект и м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 исследования.  В I гл</w:t>
      </w:r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 с опорой на труды Ю.С.Степанова, </w:t>
      </w:r>
      <w:proofErr w:type="spellStart"/>
      <w:r w:rsidR="00DF5AE8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И.П.Слесаревой</w:t>
      </w:r>
      <w:proofErr w:type="spellEnd"/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59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Л.М.Васильева, Е.И.Зиновьевой, </w:t>
      </w:r>
      <w:proofErr w:type="spellStart"/>
      <w:r w:rsidR="00E9659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Й.Трира</w:t>
      </w:r>
      <w:proofErr w:type="spellEnd"/>
      <w:r w:rsidR="00E9659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9659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В.Порцига</w:t>
      </w:r>
      <w:proofErr w:type="spellEnd"/>
      <w:r w:rsidR="00E9659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смотрены основные теоретические вопросы (</w:t>
      </w:r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семантического поля, лексико-семантической группы, тематической группы, синонимии, антонимии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), зн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которыми необходимо для решения практических задач во второй ча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ти работы.  Также  здесь представлены</w:t>
      </w:r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имеющиеся в толковых словарях определения слова «во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раст», </w:t>
      </w:r>
      <w:proofErr w:type="gramStart"/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показана</w:t>
      </w:r>
      <w:proofErr w:type="gramEnd"/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градуированность</w:t>
      </w:r>
      <w:proofErr w:type="spellEnd"/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понятия (как календарная, так и психол</w:t>
      </w:r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2E8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гическая).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50D" w:rsidRPr="00D601DB" w:rsidRDefault="00C1350D" w:rsidP="00F40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Во II-ой  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главе, которая носит название «Функционально-семантическая характеристика лексики,</w:t>
      </w:r>
      <w:r w:rsidR="00385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выражающей возраст человека», </w:t>
      </w:r>
      <w:proofErr w:type="spellStart"/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Чунь</w:t>
      </w:r>
      <w:proofErr w:type="spellEnd"/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Юми</w:t>
      </w:r>
      <w:proofErr w:type="spellEnd"/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описывает лексику по теме «возраст» с точки зрения распредел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ее по частям речи (существительные, прилагательные, глаголы, числ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тельные, наречия, устойчивые сочетания), приводит структурно-семантическую 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лингвострановедческую 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характеристику тематической группы «возраст», 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словообразовательные модели производных 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слов и способы </w:t>
      </w:r>
      <w:proofErr w:type="spellStart"/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семантизации</w:t>
      </w:r>
      <w:proofErr w:type="spellEnd"/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данной тематической группы на коре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язык. </w:t>
      </w:r>
      <w:proofErr w:type="gramEnd"/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Достоинством рассматриваемой работы являются: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чёткая, логичная структура исследования;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владение научным языком;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знакомство автора с серьёзной лингвистической литературой, словарями;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обоснованное желание привлечь к работе  новые, современные источники </w:t>
      </w:r>
      <w:r w:rsidR="0038534C">
        <w:rPr>
          <w:rFonts w:ascii="Times New Roman" w:eastAsia="Times New Roman" w:hAnsi="Times New Roman" w:cs="Times New Roman"/>
          <w:color w:val="000000"/>
          <w:sz w:val="28"/>
          <w:szCs w:val="28"/>
        </w:rPr>
        <w:t>(национальный корпус русского языка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интернет-ресурсы);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 обращение к учебным пособиям по РКИ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которые включена тема «Во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раст» </w:t>
      </w:r>
      <w:r w:rsidR="00795CC4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(7 пособий)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детальное их изучение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(стр.34-41), показывающее, что данная тема актуальна и </w:t>
      </w:r>
      <w:proofErr w:type="spellStart"/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муникативно</w:t>
      </w:r>
      <w:proofErr w:type="spellEnd"/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значима.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достаточно большое количество 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 из художественных и публиц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стических те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(1553), отобранных из толковых словарей русского языка</w:t>
      </w:r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FF31B7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="00450E1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которых позволил </w:t>
      </w:r>
      <w:proofErr w:type="spellStart"/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Чунь</w:t>
      </w:r>
      <w:proofErr w:type="spellEnd"/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Юми</w:t>
      </w:r>
      <w:proofErr w:type="spellEnd"/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описать и проан</w:t>
      </w:r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лизировать 400 лексических единиц, непосредственно связанных с передачей возраста в русском языке.</w:t>
      </w:r>
    </w:p>
    <w:p w:rsidR="005B5EC9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5EC9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лингвометодические рекомендации по работе с темой «возраст» в группах корейских студентов.  </w:t>
      </w:r>
    </w:p>
    <w:p w:rsidR="00C1350D" w:rsidRPr="00D601DB" w:rsidRDefault="005B5EC9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дополнения и корректировки некоторых словарных статей, а также указ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случаи отсутствия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в двуязычных русско-корейских словарях или их неправильное толков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ние. </w:t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 наряду с этим 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хотелось бы предложить </w:t>
      </w:r>
      <w:proofErr w:type="spellStart"/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Чунь</w:t>
      </w:r>
      <w:proofErr w:type="spellEnd"/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Юми</w:t>
      </w:r>
      <w:proofErr w:type="spellEnd"/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вопросы и в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 несколько замечаний.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264D6" w:rsidRPr="00D601DB" w:rsidRDefault="00C1350D" w:rsidP="00F409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 уделяет достаточно много внимания 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описанию стилистич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1540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ски-маркированной лексики, выражающей возраст человека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.  Дум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ется, что в теоретической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рабо</w:t>
      </w:r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proofErr w:type="spellStart"/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Чунь</w:t>
      </w:r>
      <w:proofErr w:type="spellEnd"/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Юми</w:t>
      </w:r>
      <w:proofErr w:type="spellEnd"/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могла бы более подробно</w:t>
      </w:r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остановиться на определении различных функциональных стилей речи, а в практической - показать, в каком стиле речи во</w:t>
      </w:r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264D6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использование того или иного выражения</w:t>
      </w:r>
      <w:r w:rsidR="00683FD2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4D6" w:rsidRPr="00D601DB" w:rsidRDefault="004264D6" w:rsidP="00F409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sz w:val="28"/>
          <w:szCs w:val="28"/>
        </w:rPr>
        <w:t xml:space="preserve">Хотелось бы уточнить, каким именно способом отбирались слова по теме «возраст» из толковых словарей. </w:t>
      </w:r>
      <w:proofErr w:type="gramStart"/>
      <w:r w:rsidRPr="00D601DB">
        <w:rPr>
          <w:rFonts w:ascii="Times New Roman" w:eastAsia="Times New Roman" w:hAnsi="Times New Roman" w:cs="Times New Roman"/>
          <w:sz w:val="28"/>
          <w:szCs w:val="28"/>
        </w:rPr>
        <w:t>Так, я не могу согласиться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 с тем</w:t>
      </w:r>
      <w:r w:rsidRPr="00D601DB">
        <w:rPr>
          <w:rFonts w:ascii="Times New Roman" w:eastAsia="Times New Roman" w:hAnsi="Times New Roman" w:cs="Times New Roman"/>
          <w:sz w:val="28"/>
          <w:szCs w:val="28"/>
        </w:rPr>
        <w:t xml:space="preserve">, что слова </w:t>
      </w:r>
      <w:proofErr w:type="spellStart"/>
      <w:r w:rsidRPr="00D601DB">
        <w:rPr>
          <w:rFonts w:ascii="Times New Roman" w:eastAsia="Times New Roman" w:hAnsi="Times New Roman" w:cs="Times New Roman"/>
          <w:i/>
          <w:sz w:val="28"/>
          <w:szCs w:val="28"/>
        </w:rPr>
        <w:t>несмышленный</w:t>
      </w:r>
      <w:proofErr w:type="spellEnd"/>
      <w:r w:rsidRPr="00D601DB">
        <w:rPr>
          <w:rFonts w:ascii="Times New Roman" w:eastAsia="Times New Roman" w:hAnsi="Times New Roman" w:cs="Times New Roman"/>
          <w:i/>
          <w:sz w:val="28"/>
          <w:szCs w:val="28"/>
        </w:rPr>
        <w:t>, неопытный, сопливый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(стр.64), 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ба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кать, пеленать, свивать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(стр.78) непосредственно относятся к теме «возраст».</w:t>
      </w:r>
      <w:proofErr w:type="gramEnd"/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Каковы были критерии отбора? Если это материалы а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социативных словарей, то в теоретическую главу необходимо п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мещение раздела про ассоциативно-вербальное поле. Кроме того, не совсем понятно, почему в группу существительных, передающих возраст человека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 (стр.46)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попадают слова 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школьник и школьница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и не поп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дает</w:t>
      </w:r>
      <w:proofErr w:type="gramEnd"/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студент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C04CB" w:rsidRPr="00D601DB"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лексико-семантическую группу глаголов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 (стр.78) вошло слово </w:t>
      </w:r>
      <w:r w:rsidR="00B02C62" w:rsidRPr="00B02C62">
        <w:rPr>
          <w:rFonts w:ascii="Times New Roman" w:eastAsia="Times New Roman" w:hAnsi="Times New Roman" w:cs="Times New Roman"/>
          <w:i/>
          <w:sz w:val="28"/>
          <w:szCs w:val="28"/>
        </w:rPr>
        <w:t>пеленать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 не вошли довольно частотные сл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07252B" w:rsidRPr="00D601DB">
        <w:rPr>
          <w:rFonts w:ascii="Times New Roman" w:eastAsia="Times New Roman" w:hAnsi="Times New Roman" w:cs="Times New Roman"/>
          <w:i/>
          <w:sz w:val="28"/>
          <w:szCs w:val="28"/>
        </w:rPr>
        <w:t>молодеть, подрастать, вырастать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>, а в группу прилагательных не поп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ло слово </w:t>
      </w:r>
      <w:proofErr w:type="gramStart"/>
      <w:r w:rsidR="00B02C62" w:rsidRPr="00B02C62">
        <w:rPr>
          <w:rFonts w:ascii="Times New Roman" w:eastAsia="Times New Roman" w:hAnsi="Times New Roman" w:cs="Times New Roman"/>
          <w:i/>
          <w:sz w:val="28"/>
          <w:szCs w:val="28"/>
        </w:rPr>
        <w:t>моложавый</w:t>
      </w:r>
      <w:proofErr w:type="gramEnd"/>
      <w:r w:rsidR="00B02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2B" w:rsidRPr="00D601DB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683FD2" w:rsidRPr="00D601DB" w:rsidRDefault="00166ED6" w:rsidP="00F409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1DB">
        <w:rPr>
          <w:rFonts w:ascii="Times New Roman" w:hAnsi="Times New Roman" w:cs="Times New Roman"/>
          <w:sz w:val="28"/>
          <w:szCs w:val="28"/>
        </w:rPr>
        <w:t>В разделе «Стилистически-маркированная лексика, выражающая возраст человека» с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лова 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 xml:space="preserve">муж 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и 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>жена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 относятся к устаревшим сп</w:t>
      </w:r>
      <w:r w:rsidR="00683FD2" w:rsidRPr="00D601DB">
        <w:rPr>
          <w:rFonts w:ascii="Times New Roman" w:hAnsi="Times New Roman" w:cs="Times New Roman"/>
          <w:sz w:val="28"/>
          <w:szCs w:val="28"/>
        </w:rPr>
        <w:t>о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собам передачи возраста; 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>бабушка, тетя, дядя, мадам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 - к разгово</w:t>
      </w:r>
      <w:r w:rsidR="00683FD2" w:rsidRPr="00D601DB">
        <w:rPr>
          <w:rFonts w:ascii="Times New Roman" w:hAnsi="Times New Roman" w:cs="Times New Roman"/>
          <w:sz w:val="28"/>
          <w:szCs w:val="28"/>
        </w:rPr>
        <w:t>р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ным выражениям; 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>дед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 – к шутливым и ироническим; 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>жена, мужч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t>и</w:t>
      </w:r>
      <w:r w:rsidR="00683FD2" w:rsidRPr="00D601DB">
        <w:rPr>
          <w:rFonts w:ascii="Times New Roman" w:hAnsi="Times New Roman" w:cs="Times New Roman"/>
          <w:i/>
          <w:sz w:val="28"/>
          <w:szCs w:val="28"/>
        </w:rPr>
        <w:lastRenderedPageBreak/>
        <w:t>на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 – к книжным выражениям</w:t>
      </w:r>
      <w:r w:rsidRPr="00D601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01DB">
        <w:rPr>
          <w:rFonts w:ascii="Times New Roman" w:hAnsi="Times New Roman" w:cs="Times New Roman"/>
          <w:sz w:val="28"/>
          <w:szCs w:val="28"/>
        </w:rPr>
        <w:t xml:space="preserve"> На мой взгляд, подобные примеры следует вводить исключительно в контексте, показывая, какое и</w:t>
      </w:r>
      <w:r w:rsidR="00B02C62">
        <w:rPr>
          <w:rFonts w:ascii="Times New Roman" w:hAnsi="Times New Roman" w:cs="Times New Roman"/>
          <w:sz w:val="28"/>
          <w:szCs w:val="28"/>
        </w:rPr>
        <w:t>менно из значений слова устаревшее</w:t>
      </w:r>
      <w:r w:rsidRPr="00D601DB">
        <w:rPr>
          <w:rFonts w:ascii="Times New Roman" w:hAnsi="Times New Roman" w:cs="Times New Roman"/>
          <w:sz w:val="28"/>
          <w:szCs w:val="28"/>
        </w:rPr>
        <w:t xml:space="preserve">, книжное, ироничное и т.д. (например, </w:t>
      </w:r>
      <w:r w:rsidRPr="00D601DB">
        <w:rPr>
          <w:rFonts w:ascii="Times New Roman" w:hAnsi="Times New Roman" w:cs="Times New Roman"/>
          <w:i/>
          <w:sz w:val="28"/>
          <w:szCs w:val="28"/>
        </w:rPr>
        <w:t xml:space="preserve">муж </w:t>
      </w:r>
      <w:r w:rsidRPr="00D601DB">
        <w:rPr>
          <w:rFonts w:ascii="Times New Roman" w:hAnsi="Times New Roman" w:cs="Times New Roman"/>
          <w:sz w:val="28"/>
          <w:szCs w:val="28"/>
        </w:rPr>
        <w:t>в значении «мужчина в зрелом возрасте» - устар.). В противном случае у иностранных студентов может сложиться н</w:t>
      </w:r>
      <w:r w:rsidRPr="00D601DB">
        <w:rPr>
          <w:rFonts w:ascii="Times New Roman" w:hAnsi="Times New Roman" w:cs="Times New Roman"/>
          <w:sz w:val="28"/>
          <w:szCs w:val="28"/>
        </w:rPr>
        <w:t>е</w:t>
      </w:r>
      <w:r w:rsidRPr="00D601DB">
        <w:rPr>
          <w:rFonts w:ascii="Times New Roman" w:hAnsi="Times New Roman" w:cs="Times New Roman"/>
          <w:sz w:val="28"/>
          <w:szCs w:val="28"/>
        </w:rPr>
        <w:t>верное представление о значении того или иного слова, что может привести к коммуникативным неудачам.</w:t>
      </w:r>
    </w:p>
    <w:p w:rsidR="00644F8B" w:rsidRPr="00D601DB" w:rsidRDefault="00644F8B" w:rsidP="00F409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>На стр.122 появляется фраза «существуют некоторые ассоциативные ряды, которые студенты сами предложили в анкете».</w:t>
      </w:r>
      <w:r w:rsidR="000864C3" w:rsidRPr="00D601DB">
        <w:rPr>
          <w:rFonts w:ascii="Times New Roman" w:hAnsi="Times New Roman" w:cs="Times New Roman"/>
          <w:sz w:val="28"/>
          <w:szCs w:val="28"/>
        </w:rPr>
        <w:t xml:space="preserve"> Далее на стр. 126 – «для уточнения результатов анализа был проведен экспер</w:t>
      </w:r>
      <w:r w:rsidR="000864C3" w:rsidRPr="00D601DB">
        <w:rPr>
          <w:rFonts w:ascii="Times New Roman" w:hAnsi="Times New Roman" w:cs="Times New Roman"/>
          <w:sz w:val="28"/>
          <w:szCs w:val="28"/>
        </w:rPr>
        <w:t>и</w:t>
      </w:r>
      <w:r w:rsidR="000864C3" w:rsidRPr="00D601DB">
        <w:rPr>
          <w:rFonts w:ascii="Times New Roman" w:hAnsi="Times New Roman" w:cs="Times New Roman"/>
          <w:sz w:val="28"/>
          <w:szCs w:val="28"/>
        </w:rPr>
        <w:t xml:space="preserve">мент-анкетирование стереотипных понятий по теме возраст среди иностранных студентов </w:t>
      </w:r>
      <w:r w:rsidR="000864C3" w:rsidRPr="00D60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64C3" w:rsidRPr="00D601DB">
        <w:rPr>
          <w:rFonts w:ascii="Times New Roman" w:hAnsi="Times New Roman" w:cs="Times New Roman"/>
          <w:sz w:val="28"/>
          <w:szCs w:val="28"/>
        </w:rPr>
        <w:t xml:space="preserve"> и </w:t>
      </w:r>
      <w:r w:rsidR="000864C3" w:rsidRPr="00D601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64C3" w:rsidRPr="00D601DB">
        <w:rPr>
          <w:rFonts w:ascii="Times New Roman" w:hAnsi="Times New Roman" w:cs="Times New Roman"/>
          <w:sz w:val="28"/>
          <w:szCs w:val="28"/>
        </w:rPr>
        <w:t xml:space="preserve"> отделения РКИ (всего 30 человек) и магистров </w:t>
      </w:r>
      <w:r w:rsidR="000864C3" w:rsidRPr="00D601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64C3" w:rsidRPr="00D601DB">
        <w:rPr>
          <w:rFonts w:ascii="Times New Roman" w:hAnsi="Times New Roman" w:cs="Times New Roman"/>
          <w:sz w:val="28"/>
          <w:szCs w:val="28"/>
        </w:rPr>
        <w:t xml:space="preserve"> курса (10 человек). Итоги анализа материала нашли о</w:t>
      </w:r>
      <w:r w:rsidR="000864C3" w:rsidRPr="00D601DB">
        <w:rPr>
          <w:rFonts w:ascii="Times New Roman" w:hAnsi="Times New Roman" w:cs="Times New Roman"/>
          <w:sz w:val="28"/>
          <w:szCs w:val="28"/>
        </w:rPr>
        <w:t>т</w:t>
      </w:r>
      <w:r w:rsidR="000864C3" w:rsidRPr="00D601DB">
        <w:rPr>
          <w:rFonts w:ascii="Times New Roman" w:hAnsi="Times New Roman" w:cs="Times New Roman"/>
          <w:sz w:val="28"/>
          <w:szCs w:val="28"/>
        </w:rPr>
        <w:t>ражение в нескольких таблицах».</w:t>
      </w:r>
      <w:r w:rsidR="00683FD2" w:rsidRPr="00D601DB">
        <w:rPr>
          <w:rFonts w:ascii="Times New Roman" w:hAnsi="Times New Roman" w:cs="Times New Roman"/>
          <w:sz w:val="28"/>
          <w:szCs w:val="28"/>
        </w:rPr>
        <w:t xml:space="preserve"> Так как в работе нигде больше не содержится упоминаний об этом эксперименте, то хотелось бы уточнить, где эти таблицы, каковы результаты эксперимента, какие методы использовались при анал</w:t>
      </w:r>
      <w:r w:rsidR="00683FD2" w:rsidRPr="00D601DB">
        <w:rPr>
          <w:rFonts w:ascii="Times New Roman" w:hAnsi="Times New Roman" w:cs="Times New Roman"/>
          <w:sz w:val="28"/>
          <w:szCs w:val="28"/>
        </w:rPr>
        <w:t>и</w:t>
      </w:r>
      <w:r w:rsidR="00683FD2" w:rsidRPr="00D601DB">
        <w:rPr>
          <w:rFonts w:ascii="Times New Roman" w:hAnsi="Times New Roman" w:cs="Times New Roman"/>
          <w:sz w:val="28"/>
          <w:szCs w:val="28"/>
        </w:rPr>
        <w:t>зе материала и т.д.</w:t>
      </w:r>
    </w:p>
    <w:p w:rsidR="00C1350D" w:rsidRPr="00D601DB" w:rsidRDefault="00C1350D" w:rsidP="00F409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говорит об актуальности своего исследования применител</w:t>
      </w:r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ьно к иностранной аудитории. Я не стану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оспаривать </w:t>
      </w:r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утверждение, так как считаю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абсолютно справедливым. Но когда </w:t>
      </w:r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 и в каком порядке  </w:t>
      </w:r>
      <w:proofErr w:type="spellStart"/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Чунь</w:t>
      </w:r>
      <w:proofErr w:type="spellEnd"/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Юми</w:t>
      </w:r>
      <w:proofErr w:type="spellEnd"/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собирается знакомить иностранных уч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0864C3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 способами выражения возраста человека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? Какими крит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риями следует руководствоваться при отборе материала? 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обратить внимание автора на важность таких факторов как ча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тотность лексической единицы, </w:t>
      </w:r>
      <w:proofErr w:type="spellStart"/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гендерный</w:t>
      </w:r>
      <w:proofErr w:type="spellEnd"/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 (по отношению к кому, мужчине или женщине, можно употреблять то или иное в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 возра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40921"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>та), вежливость, эмоциональность и т.д.</w:t>
      </w:r>
    </w:p>
    <w:p w:rsidR="00F40921" w:rsidRPr="00D601DB" w:rsidRDefault="00F40921" w:rsidP="00F40921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921" w:rsidRPr="00D601DB" w:rsidRDefault="00F40921" w:rsidP="00F40921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921" w:rsidRPr="00D601DB" w:rsidRDefault="00F40921" w:rsidP="00F4092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sz w:val="28"/>
          <w:szCs w:val="28"/>
        </w:rPr>
        <w:t xml:space="preserve">Высказанные замечания не свидетельствуют о каких-либо существенных недостатках в работе. Напротив, отмечу, что </w:t>
      </w:r>
      <w:proofErr w:type="spellStart"/>
      <w:r w:rsidRPr="00D601DB">
        <w:rPr>
          <w:rFonts w:ascii="Times New Roman" w:hAnsi="Times New Roman" w:cs="Times New Roman"/>
          <w:sz w:val="28"/>
          <w:szCs w:val="28"/>
        </w:rPr>
        <w:t>Чунь</w:t>
      </w:r>
      <w:proofErr w:type="spellEnd"/>
      <w:r w:rsidRPr="00D60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1DB">
        <w:rPr>
          <w:rFonts w:ascii="Times New Roman" w:hAnsi="Times New Roman" w:cs="Times New Roman"/>
          <w:sz w:val="28"/>
          <w:szCs w:val="28"/>
        </w:rPr>
        <w:t>Юми</w:t>
      </w:r>
      <w:proofErr w:type="spellEnd"/>
      <w:r w:rsidRPr="00D601DB">
        <w:rPr>
          <w:rFonts w:ascii="Times New Roman" w:hAnsi="Times New Roman" w:cs="Times New Roman"/>
          <w:sz w:val="28"/>
          <w:szCs w:val="28"/>
        </w:rPr>
        <w:t xml:space="preserve"> предложила досто</w:t>
      </w:r>
      <w:r w:rsidRPr="00D601DB">
        <w:rPr>
          <w:rFonts w:ascii="Times New Roman" w:hAnsi="Times New Roman" w:cs="Times New Roman"/>
          <w:sz w:val="28"/>
          <w:szCs w:val="28"/>
        </w:rPr>
        <w:t>й</w:t>
      </w:r>
      <w:r w:rsidRPr="00D601DB">
        <w:rPr>
          <w:rFonts w:ascii="Times New Roman" w:hAnsi="Times New Roman" w:cs="Times New Roman"/>
          <w:sz w:val="28"/>
          <w:szCs w:val="28"/>
        </w:rPr>
        <w:t>ную разработку выбранной темы. Работа соответствует всем требованиям, предъявляемым к выпускным квалификационным работам магистров, и з</w:t>
      </w:r>
      <w:r w:rsidRPr="00D601DB">
        <w:rPr>
          <w:rFonts w:ascii="Times New Roman" w:hAnsi="Times New Roman" w:cs="Times New Roman"/>
          <w:sz w:val="28"/>
          <w:szCs w:val="28"/>
        </w:rPr>
        <w:t>а</w:t>
      </w:r>
      <w:r w:rsidRPr="00D601DB">
        <w:rPr>
          <w:rFonts w:ascii="Times New Roman" w:hAnsi="Times New Roman" w:cs="Times New Roman"/>
          <w:sz w:val="28"/>
          <w:szCs w:val="28"/>
        </w:rPr>
        <w:t>служивает положительной оценки.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D601DB">
        <w:rPr>
          <w:rStyle w:val="postbody"/>
          <w:rFonts w:ascii="Times New Roman" w:hAnsi="Times New Roman" w:cs="Times New Roman"/>
          <w:sz w:val="28"/>
          <w:szCs w:val="28"/>
        </w:rPr>
        <w:t xml:space="preserve">Доцент кафедры русского языка как 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D601DB">
        <w:rPr>
          <w:rStyle w:val="postbody"/>
          <w:rFonts w:ascii="Times New Roman" w:hAnsi="Times New Roman" w:cs="Times New Roman"/>
          <w:sz w:val="28"/>
          <w:szCs w:val="28"/>
        </w:rPr>
        <w:t>иностранного и методики его преподавания СПбГУ,</w:t>
      </w:r>
    </w:p>
    <w:p w:rsidR="00F40921" w:rsidRPr="00D601DB" w:rsidRDefault="00F40921" w:rsidP="00F40921">
      <w:pPr>
        <w:spacing w:line="240" w:lineRule="auto"/>
        <w:contextualSpacing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proofErr w:type="spellStart"/>
      <w:r w:rsidRPr="00D601DB">
        <w:rPr>
          <w:rStyle w:val="postbody"/>
          <w:rFonts w:ascii="Times New Roman" w:hAnsi="Times New Roman" w:cs="Times New Roman"/>
          <w:sz w:val="28"/>
          <w:szCs w:val="28"/>
        </w:rPr>
        <w:t>к.ф.н.</w:t>
      </w:r>
      <w:proofErr w:type="gramStart"/>
      <w:r w:rsidRPr="00D601DB">
        <w:rPr>
          <w:rStyle w:val="postbody"/>
          <w:rFonts w:ascii="Times New Roman" w:hAnsi="Times New Roman" w:cs="Times New Roman"/>
          <w:sz w:val="28"/>
          <w:szCs w:val="28"/>
        </w:rPr>
        <w:t>,д</w:t>
      </w:r>
      <w:proofErr w:type="gramEnd"/>
      <w:r w:rsidRPr="00D601DB">
        <w:rPr>
          <w:rStyle w:val="postbody"/>
          <w:rFonts w:ascii="Times New Roman" w:hAnsi="Times New Roman" w:cs="Times New Roman"/>
          <w:sz w:val="28"/>
          <w:szCs w:val="28"/>
        </w:rPr>
        <w:t>оц</w:t>
      </w:r>
      <w:proofErr w:type="spellEnd"/>
      <w:r w:rsidRPr="00D601DB">
        <w:rPr>
          <w:rStyle w:val="postbody"/>
          <w:rFonts w:ascii="Times New Roman" w:hAnsi="Times New Roman" w:cs="Times New Roman"/>
          <w:sz w:val="28"/>
          <w:szCs w:val="28"/>
        </w:rPr>
        <w:t>.                                                                                      Т.Е.Петрова</w:t>
      </w:r>
    </w:p>
    <w:p w:rsidR="00F40921" w:rsidRPr="00D601DB" w:rsidRDefault="00F40921" w:rsidP="00F4092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50D" w:rsidRPr="00D601DB" w:rsidRDefault="00C1350D" w:rsidP="00F40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1350D" w:rsidRPr="00D601DB" w:rsidRDefault="00C1350D" w:rsidP="00F409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1350D" w:rsidRPr="00D601DB" w:rsidRDefault="00C1350D" w:rsidP="00F40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01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0921" w:rsidRPr="00D601DB" w:rsidRDefault="00F40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921" w:rsidRPr="00D601DB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0E"/>
    <w:multiLevelType w:val="hybridMultilevel"/>
    <w:tmpl w:val="A06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3C19"/>
    <w:multiLevelType w:val="multilevel"/>
    <w:tmpl w:val="956A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F51A2"/>
    <w:multiLevelType w:val="hybridMultilevel"/>
    <w:tmpl w:val="EF926884"/>
    <w:lvl w:ilvl="0" w:tplc="B95699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3473"/>
    <w:rsid w:val="00024682"/>
    <w:rsid w:val="0007252B"/>
    <w:rsid w:val="000864C3"/>
    <w:rsid w:val="00125519"/>
    <w:rsid w:val="00134000"/>
    <w:rsid w:val="001602D6"/>
    <w:rsid w:val="00166ED6"/>
    <w:rsid w:val="001F43F4"/>
    <w:rsid w:val="00242A8A"/>
    <w:rsid w:val="002C58A6"/>
    <w:rsid w:val="00301540"/>
    <w:rsid w:val="00374AB0"/>
    <w:rsid w:val="0038534C"/>
    <w:rsid w:val="00405B46"/>
    <w:rsid w:val="004264D6"/>
    <w:rsid w:val="00450E10"/>
    <w:rsid w:val="00477596"/>
    <w:rsid w:val="00547278"/>
    <w:rsid w:val="005628D9"/>
    <w:rsid w:val="005B5EC9"/>
    <w:rsid w:val="00602977"/>
    <w:rsid w:val="00615685"/>
    <w:rsid w:val="00644F8B"/>
    <w:rsid w:val="00672E84"/>
    <w:rsid w:val="00683FD2"/>
    <w:rsid w:val="006B530B"/>
    <w:rsid w:val="006D766B"/>
    <w:rsid w:val="006F1A03"/>
    <w:rsid w:val="00746B88"/>
    <w:rsid w:val="00795CC4"/>
    <w:rsid w:val="007D5C6C"/>
    <w:rsid w:val="00807BF9"/>
    <w:rsid w:val="00867B22"/>
    <w:rsid w:val="00870F74"/>
    <w:rsid w:val="00883531"/>
    <w:rsid w:val="008E19F7"/>
    <w:rsid w:val="008F5178"/>
    <w:rsid w:val="00953D0E"/>
    <w:rsid w:val="0096238D"/>
    <w:rsid w:val="00972DB1"/>
    <w:rsid w:val="00981F14"/>
    <w:rsid w:val="00996358"/>
    <w:rsid w:val="00B02C62"/>
    <w:rsid w:val="00C1350D"/>
    <w:rsid w:val="00C43473"/>
    <w:rsid w:val="00C76501"/>
    <w:rsid w:val="00CC04CB"/>
    <w:rsid w:val="00CC50D3"/>
    <w:rsid w:val="00D601DB"/>
    <w:rsid w:val="00DF5AE8"/>
    <w:rsid w:val="00E255F1"/>
    <w:rsid w:val="00E77D6B"/>
    <w:rsid w:val="00E96597"/>
    <w:rsid w:val="00EB1B62"/>
    <w:rsid w:val="00EF7EFA"/>
    <w:rsid w:val="00F40921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0E"/>
    <w:pPr>
      <w:ind w:left="720"/>
      <w:contextualSpacing/>
    </w:pPr>
  </w:style>
  <w:style w:type="character" w:customStyle="1" w:styleId="hl">
    <w:name w:val="hl"/>
    <w:basedOn w:val="a0"/>
    <w:rsid w:val="00C1350D"/>
  </w:style>
  <w:style w:type="character" w:customStyle="1" w:styleId="apple-converted-space">
    <w:name w:val="apple-converted-space"/>
    <w:basedOn w:val="a0"/>
    <w:rsid w:val="00C1350D"/>
  </w:style>
  <w:style w:type="character" w:styleId="a4">
    <w:name w:val="Hyperlink"/>
    <w:basedOn w:val="a0"/>
    <w:uiPriority w:val="99"/>
    <w:semiHidden/>
    <w:unhideWhenUsed/>
    <w:rsid w:val="00C1350D"/>
    <w:rPr>
      <w:color w:val="0000FF"/>
      <w:u w:val="single"/>
    </w:rPr>
  </w:style>
  <w:style w:type="character" w:customStyle="1" w:styleId="postbody">
    <w:name w:val="postbody"/>
    <w:basedOn w:val="a0"/>
    <w:rsid w:val="00F40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</cp:revision>
  <dcterms:created xsi:type="dcterms:W3CDTF">2014-06-03T01:47:00Z</dcterms:created>
  <dcterms:modified xsi:type="dcterms:W3CDTF">2014-06-03T01:47:00Z</dcterms:modified>
</cp:coreProperties>
</file>