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C" w:rsidRPr="00304C78" w:rsidRDefault="00FD6A9C" w:rsidP="00304C78">
      <w:pPr>
        <w:ind w:left="3540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>Рецензия</w:t>
      </w:r>
    </w:p>
    <w:p w:rsidR="00FD6A9C" w:rsidRPr="00304C78" w:rsidRDefault="00FD6A9C" w:rsidP="00304C7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4C78">
        <w:rPr>
          <w:rFonts w:ascii="Times New Roman" w:hAnsi="Times New Roman"/>
          <w:sz w:val="24"/>
          <w:szCs w:val="24"/>
        </w:rPr>
        <w:t>на выпускную квалификационную работу магистра лингвистики</w:t>
      </w:r>
    </w:p>
    <w:p w:rsidR="00FD6A9C" w:rsidRPr="00304C78" w:rsidRDefault="00FD6A9C" w:rsidP="00304C7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4C78">
        <w:rPr>
          <w:rFonts w:ascii="Times New Roman" w:hAnsi="Times New Roman"/>
          <w:sz w:val="24"/>
          <w:szCs w:val="24"/>
        </w:rPr>
        <w:t>«Глаголы бытийности в русском языке (на фоне тайского языка)»</w:t>
      </w:r>
    </w:p>
    <w:p w:rsidR="00FD6A9C" w:rsidRPr="00304C78" w:rsidRDefault="00FD6A9C" w:rsidP="00304C78">
      <w:pPr>
        <w:jc w:val="center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студента кафедры русского языка как иностранного и методики его преподавания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E1138">
        <w:rPr>
          <w:rFonts w:ascii="Times New Roman" w:hAnsi="Times New Roman"/>
          <w:sz w:val="24"/>
          <w:szCs w:val="24"/>
        </w:rPr>
        <w:t>Кумпола Праюна Аебтонга</w:t>
      </w:r>
    </w:p>
    <w:p w:rsidR="00FD6A9C" w:rsidRPr="00304C78" w:rsidRDefault="00FD6A9C" w:rsidP="005C441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Выпускная квалификационная работа студентки магистратуры </w:t>
      </w:r>
      <w:r w:rsidRPr="00DE1138">
        <w:rPr>
          <w:rFonts w:ascii="Times New Roman" w:hAnsi="Times New Roman"/>
          <w:sz w:val="24"/>
          <w:szCs w:val="24"/>
        </w:rPr>
        <w:t>Кумпола Праюна Аебтонга</w:t>
      </w:r>
      <w:r w:rsidRPr="00304C78">
        <w:rPr>
          <w:rFonts w:ascii="Times New Roman" w:hAnsi="Times New Roman"/>
          <w:b/>
          <w:sz w:val="24"/>
          <w:szCs w:val="24"/>
        </w:rPr>
        <w:t xml:space="preserve"> </w:t>
      </w:r>
      <w:r w:rsidRPr="00304C78">
        <w:rPr>
          <w:rFonts w:ascii="Times New Roman" w:hAnsi="Times New Roman"/>
          <w:sz w:val="24"/>
          <w:szCs w:val="24"/>
        </w:rPr>
        <w:t xml:space="preserve">посвящена  исследованию актуальной группы  глаголов -  глаголов бытия. Уже название диссертационного исследования говорит об актуальности и практической значимости работы, так как  глаголы существования (бытийности), являются не только неотъемлемой частью жизни человека, общества, природы, но и  играют важную роль в организации устной и письменной речи - в описании событий  в литературе, в представлении явлений и их форм существования в науке. </w:t>
      </w:r>
    </w:p>
    <w:p w:rsidR="00FD6A9C" w:rsidRPr="00304C78" w:rsidRDefault="00FD6A9C" w:rsidP="00D91C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Глаголы бытия обозначают   фазы бытия: начало, конец существования и само существование как таковое в процессе его существования. Объектом  рецензируемого  исследования  является  основная часть  этой огромной группы глаголов - само существование как таковое в процессе его существования. </w:t>
      </w:r>
    </w:p>
    <w:p w:rsidR="00FD6A9C" w:rsidRPr="00304C78" w:rsidRDefault="00FD6A9C" w:rsidP="00304C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>Целью исследования  является</w:t>
      </w:r>
      <w:r>
        <w:rPr>
          <w:rFonts w:ascii="Times New Roman" w:hAnsi="Times New Roman"/>
          <w:sz w:val="24"/>
          <w:szCs w:val="24"/>
        </w:rPr>
        <w:t xml:space="preserve"> описание, </w:t>
      </w:r>
      <w:r w:rsidRPr="00304C78">
        <w:rPr>
          <w:rFonts w:ascii="Times New Roman" w:hAnsi="Times New Roman"/>
          <w:sz w:val="24"/>
          <w:szCs w:val="24"/>
        </w:rPr>
        <w:t>систематизация глаголов существования и соотнесение их с аналогичными  глаголами  тайского языка.</w:t>
      </w:r>
    </w:p>
    <w:p w:rsidR="00FD6A9C" w:rsidRPr="00304C78" w:rsidRDefault="00FD6A9C" w:rsidP="00FA25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Надо отметить, что лексика – очень сложный аспект в теории и практике обучения иностранцев русскому языку,  в силу   многозначности, открытости лексической системы. Поэтому так актуально при классификации и презентации лексики находить наиболее оптимальные пути ее подачи в аудитории. В этом смысле данное исследование имеет практическую направленность, так как  опирается на принципы классификации, тематической принадлежности. Ценность настоящей работы видится прежде всего в отборе, классификации материала в соответствии с требованиями, предъявляемыми к учебному словарю. Такой словарь-справочник был бы очень полезен и для переводчиков. </w:t>
      </w:r>
    </w:p>
    <w:p w:rsidR="00FD6A9C" w:rsidRPr="00304C78" w:rsidRDefault="00FD6A9C" w:rsidP="00C21A3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Работа имеет и несомненную теоретическую значимость, так как является логическим продолжением работы над классификацией русских глаголов, которую проделали в 1999 году авторы </w:t>
      </w:r>
      <w:r w:rsidRPr="00304C78">
        <w:rPr>
          <w:rFonts w:ascii="Times New Roman" w:hAnsi="Times New Roman"/>
          <w:bCs/>
          <w:sz w:val="24"/>
          <w:szCs w:val="24"/>
        </w:rPr>
        <w:t>«Большого толкового словаря русских глаголов»</w:t>
      </w:r>
      <w:r w:rsidRPr="00304C78">
        <w:rPr>
          <w:rFonts w:ascii="Times New Roman" w:hAnsi="Times New Roman"/>
          <w:sz w:val="24"/>
          <w:szCs w:val="24"/>
        </w:rPr>
        <w:t xml:space="preserve"> (под  ред.  Л.Г. Бабенко).</w:t>
      </w:r>
      <w:r w:rsidRPr="00304C78">
        <w:rPr>
          <w:rFonts w:ascii="Times New Roman" w:hAnsi="Times New Roman"/>
          <w:sz w:val="24"/>
          <w:szCs w:val="24"/>
        </w:rPr>
        <w:tab/>
      </w:r>
    </w:p>
    <w:p w:rsidR="00FD6A9C" w:rsidRPr="00304C78" w:rsidRDefault="00FD6A9C" w:rsidP="00304C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Работа имеет хорошую  структуру. Все теоретические параграфы подчинены практической цели – найти подходящую систему классификации выбранных для исследования глаголов. В теоретической части рассмотрены принцип иерархии,  принцип дополнительности, вариативности, пересекаемости глагольных классов, и, прежде всего, принцип функционально-семантический, являющийся основным принципом отбора тематической лексики при создании тематического словаря, в котором объектом описания являются тематические объединения слов. </w:t>
      </w:r>
    </w:p>
    <w:p w:rsidR="00FD6A9C" w:rsidRPr="00304C78" w:rsidRDefault="00FD6A9C" w:rsidP="00C21A3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Проанализировав опыт существующих лексикографических источников,  </w:t>
      </w:r>
      <w:r w:rsidRPr="00304C78">
        <w:rPr>
          <w:rFonts w:ascii="Times New Roman" w:hAnsi="Times New Roman"/>
          <w:bCs/>
          <w:sz w:val="24"/>
          <w:szCs w:val="24"/>
        </w:rPr>
        <w:t>Кумпол Праюн Аебтонг</w:t>
      </w:r>
      <w:r w:rsidRPr="00304C78">
        <w:rPr>
          <w:rFonts w:ascii="Times New Roman" w:hAnsi="Times New Roman"/>
          <w:sz w:val="24"/>
          <w:szCs w:val="24"/>
        </w:rPr>
        <w:t xml:space="preserve"> выработал собственные способы представления русских глаголов бытийности  на фоне  тайского языка, нашедшие отражение во 2 главе исследования. При систематизации глаголов существования</w:t>
      </w:r>
      <w:r w:rsidRPr="00304C78">
        <w:rPr>
          <w:rFonts w:ascii="Times New Roman" w:hAnsi="Times New Roman"/>
          <w:bCs/>
          <w:sz w:val="24"/>
          <w:szCs w:val="24"/>
        </w:rPr>
        <w:t xml:space="preserve"> Кумпол Праюн Аебтонг</w:t>
      </w:r>
      <w:r w:rsidRPr="00304C78">
        <w:rPr>
          <w:rFonts w:ascii="Times New Roman" w:hAnsi="Times New Roman"/>
          <w:sz w:val="24"/>
          <w:szCs w:val="24"/>
        </w:rPr>
        <w:t>, как нам кажется, смог учесть важные принципы методической направленности, коммуникативности обучения.</w:t>
      </w:r>
    </w:p>
    <w:p w:rsidR="00FD6A9C" w:rsidRPr="00304C78" w:rsidRDefault="00FD6A9C" w:rsidP="00C21A3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04C78">
        <w:rPr>
          <w:rFonts w:ascii="Times New Roman" w:hAnsi="Times New Roman"/>
          <w:sz w:val="24"/>
          <w:szCs w:val="24"/>
        </w:rPr>
        <w:t>режде всего</w:t>
      </w:r>
      <w:r>
        <w:rPr>
          <w:rFonts w:ascii="Times New Roman" w:hAnsi="Times New Roman"/>
          <w:sz w:val="24"/>
          <w:szCs w:val="24"/>
        </w:rPr>
        <w:t xml:space="preserve"> м</w:t>
      </w:r>
      <w:bookmarkStart w:id="0" w:name="_GoBack"/>
      <w:bookmarkEnd w:id="0"/>
      <w:r w:rsidRPr="00304C78">
        <w:rPr>
          <w:rFonts w:ascii="Times New Roman" w:hAnsi="Times New Roman"/>
          <w:sz w:val="24"/>
          <w:szCs w:val="24"/>
        </w:rPr>
        <w:t>агистрант подразделил эти глаголы на большие группы: Состояние объекта/явления  во времени и пространстве; Жизнь природы; Жизнь человека; Жизнь общества. Далее ма</w:t>
      </w:r>
      <w:r>
        <w:rPr>
          <w:rFonts w:ascii="Times New Roman" w:hAnsi="Times New Roman"/>
          <w:sz w:val="24"/>
          <w:szCs w:val="24"/>
        </w:rPr>
        <w:t>гистрант выделяет 27 более узких</w:t>
      </w:r>
      <w:r w:rsidRPr="00304C78">
        <w:rPr>
          <w:rFonts w:ascii="Times New Roman" w:hAnsi="Times New Roman"/>
          <w:sz w:val="24"/>
          <w:szCs w:val="24"/>
        </w:rPr>
        <w:t xml:space="preserve"> групп.  Это объединения, в которые входят только те глаголы, которые будут использоваться внутри определенной темы, т.е. внутри определенной сферы существования человека, природы, общества. Такое распределение глаголов бытийности на более мелкие словарные объединения</w:t>
      </w:r>
      <w:r>
        <w:rPr>
          <w:rFonts w:ascii="Times New Roman" w:hAnsi="Times New Roman"/>
          <w:sz w:val="24"/>
          <w:szCs w:val="24"/>
        </w:rPr>
        <w:t>, что  позволяет проследить</w:t>
      </w:r>
      <w:r w:rsidRPr="00304C78">
        <w:rPr>
          <w:rFonts w:ascii="Times New Roman" w:hAnsi="Times New Roman"/>
          <w:sz w:val="24"/>
          <w:szCs w:val="24"/>
        </w:rPr>
        <w:t xml:space="preserve"> функционирование глагола при работе над определенной темой</w:t>
      </w:r>
      <w:r>
        <w:rPr>
          <w:rFonts w:ascii="Times New Roman" w:hAnsi="Times New Roman"/>
          <w:sz w:val="24"/>
          <w:szCs w:val="24"/>
        </w:rPr>
        <w:t>, а значит решает задачам предъявления лексического</w:t>
      </w:r>
      <w:r w:rsidRPr="00304C78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</w:t>
      </w:r>
      <w:r w:rsidRPr="00304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04C78">
        <w:rPr>
          <w:rFonts w:ascii="Times New Roman" w:hAnsi="Times New Roman"/>
          <w:sz w:val="24"/>
          <w:szCs w:val="24"/>
        </w:rPr>
        <w:t xml:space="preserve">иностранной аудитории и </w:t>
      </w:r>
      <w:r>
        <w:rPr>
          <w:rFonts w:ascii="Times New Roman" w:hAnsi="Times New Roman"/>
          <w:sz w:val="24"/>
          <w:szCs w:val="24"/>
        </w:rPr>
        <w:t>упрощения</w:t>
      </w:r>
      <w:r w:rsidRPr="00304C78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а</w:t>
      </w:r>
      <w:r w:rsidRPr="00304C78">
        <w:rPr>
          <w:rFonts w:ascii="Times New Roman" w:hAnsi="Times New Roman"/>
          <w:sz w:val="24"/>
          <w:szCs w:val="24"/>
        </w:rPr>
        <w:t xml:space="preserve"> усвоения материала учащимися.</w:t>
      </w:r>
    </w:p>
    <w:p w:rsidR="00FD6A9C" w:rsidRDefault="00FD6A9C" w:rsidP="00DE1138">
      <w:pPr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>Очень наглядно в работе представлены данные глаголы при сопоставлении их значения с тайским языком – в виде таблиц. В таблицах дается основное значение глагола, информация о лексической сочетаемости глагола и способы перевода на тайский язык. Эти данные, могут служить фундаментом для создания двуязычного тематического словаря.      Результаты, представленные в выводах и заключении работы, представляют собой системное обобщение полученных результатов исследования. Хочется отметить  большую заинтересованность и увлеченность магистранта, которая, безусловно, чувствуется при чтении работы.</w:t>
      </w:r>
    </w:p>
    <w:p w:rsidR="00FD6A9C" w:rsidRPr="00304C78" w:rsidRDefault="00FD6A9C" w:rsidP="00DE113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При чтении работы к автору исследования возникли  вопросы и некоторые замечания, которые носят характер </w:t>
      </w:r>
      <w:r>
        <w:rPr>
          <w:rFonts w:ascii="Times New Roman" w:hAnsi="Times New Roman"/>
          <w:sz w:val="24"/>
          <w:szCs w:val="24"/>
        </w:rPr>
        <w:t>уточнений</w:t>
      </w:r>
      <w:r w:rsidRPr="00304C78">
        <w:rPr>
          <w:rFonts w:ascii="Times New Roman" w:hAnsi="Times New Roman"/>
          <w:sz w:val="24"/>
          <w:szCs w:val="24"/>
        </w:rPr>
        <w:t xml:space="preserve"> и пожеланий для реализации их в будущей работе:</w:t>
      </w:r>
    </w:p>
    <w:p w:rsidR="00FD6A9C" w:rsidRPr="00304C78" w:rsidRDefault="00FD6A9C" w:rsidP="00B81DA7">
      <w:pPr>
        <w:pStyle w:val="ListParagraph"/>
        <w:numPr>
          <w:ilvl w:val="0"/>
          <w:numId w:val="1"/>
        </w:numPr>
        <w:jc w:val="both"/>
      </w:pPr>
      <w:r w:rsidRPr="00304C78">
        <w:t>Пользовался ли автор какими-либо лексикографическими источниками родного языка или его выводы основывались на собственных знаниях?</w:t>
      </w:r>
    </w:p>
    <w:p w:rsidR="00FD6A9C" w:rsidRPr="00304C78" w:rsidRDefault="00FD6A9C" w:rsidP="00B81DA7">
      <w:pPr>
        <w:pStyle w:val="ListParagraph"/>
        <w:numPr>
          <w:ilvl w:val="0"/>
          <w:numId w:val="1"/>
        </w:numPr>
        <w:jc w:val="both"/>
      </w:pPr>
      <w:r w:rsidRPr="00304C78">
        <w:t>Некоторые глаголы, будучи представленными в разных группах,  встречаются два или три раза (напр., птица-летит, самолет-летит и др.). Вопрос: при подсчете глаголов существования в русском и тайском языках Вы это учитывали?</w:t>
      </w:r>
    </w:p>
    <w:p w:rsidR="00FD6A9C" w:rsidRPr="00304C78" w:rsidRDefault="00FD6A9C" w:rsidP="00B81DA7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304C78">
        <w:t xml:space="preserve">Мы понимаем, что количество проанализированных глаголов очень большое. И все же считаем необходимым предложить Вам создать в будущем еще такие группы, как «Высокие технологии», «Научные достижения» (компьютер, программа  </w:t>
      </w:r>
      <w:r w:rsidRPr="00304C78">
        <w:rPr>
          <w:i/>
          <w:iCs/>
        </w:rPr>
        <w:t xml:space="preserve">висит, вирус съедает; Энергия аккумулируется, дисперсируется и др. </w:t>
      </w:r>
      <w:r w:rsidRPr="00304C78">
        <w:t xml:space="preserve">) </w:t>
      </w:r>
    </w:p>
    <w:p w:rsidR="00FD6A9C" w:rsidRPr="00304C78" w:rsidRDefault="00FD6A9C" w:rsidP="00B81DA7">
      <w:pPr>
        <w:pStyle w:val="ListParagraph"/>
        <w:ind w:left="1069"/>
        <w:jc w:val="both"/>
      </w:pPr>
    </w:p>
    <w:p w:rsidR="00FD6A9C" w:rsidRPr="00304C78" w:rsidRDefault="00FD6A9C" w:rsidP="00304C78">
      <w:pPr>
        <w:rPr>
          <w:rFonts w:ascii="Times New Roman" w:hAnsi="Times New Roman"/>
          <w:bCs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Работа </w:t>
      </w:r>
      <w:r w:rsidRPr="00304C78">
        <w:rPr>
          <w:rFonts w:ascii="Times New Roman" w:hAnsi="Times New Roman"/>
          <w:bCs/>
          <w:sz w:val="24"/>
          <w:szCs w:val="24"/>
        </w:rPr>
        <w:t xml:space="preserve">Кумпола Праюна Аебтонга  на тему «Глаголы бытийности в русском языке (на фоне тайского языка)» </w:t>
      </w:r>
      <w:r w:rsidRPr="00304C78">
        <w:rPr>
          <w:rFonts w:ascii="Times New Roman" w:hAnsi="Times New Roman"/>
          <w:sz w:val="24"/>
          <w:szCs w:val="24"/>
        </w:rPr>
        <w:t xml:space="preserve"> соответствует всем требованиям, предъявляемым к выпускным квалификационным работам магистров, и заслуживает положительной оценки.</w:t>
      </w:r>
    </w:p>
    <w:p w:rsidR="00FD6A9C" w:rsidRPr="00304C78" w:rsidRDefault="00FD6A9C" w:rsidP="00304C78">
      <w:pPr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>Рецензент –</w:t>
      </w:r>
    </w:p>
    <w:p w:rsidR="00FD6A9C" w:rsidRPr="00304C78" w:rsidRDefault="00FD6A9C" w:rsidP="00304C78">
      <w:pPr>
        <w:jc w:val="both"/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к.ф.н, старший преподаватель  кафедры РКИ </w:t>
      </w:r>
    </w:p>
    <w:p w:rsidR="00FD6A9C" w:rsidRPr="00304C78" w:rsidRDefault="00FD6A9C" w:rsidP="00304C78">
      <w:pPr>
        <w:rPr>
          <w:rFonts w:ascii="Times New Roman" w:hAnsi="Times New Roman"/>
          <w:sz w:val="24"/>
          <w:szCs w:val="24"/>
        </w:rPr>
      </w:pPr>
      <w:r w:rsidRPr="00304C78">
        <w:rPr>
          <w:rFonts w:ascii="Times New Roman" w:hAnsi="Times New Roman"/>
          <w:sz w:val="24"/>
          <w:szCs w:val="24"/>
        </w:rPr>
        <w:t xml:space="preserve">и методики его преподавания РКИ             </w:t>
      </w:r>
      <w:r w:rsidRPr="00304C78">
        <w:rPr>
          <w:rFonts w:ascii="Times New Roman" w:hAnsi="Times New Roman"/>
          <w:bCs/>
          <w:sz w:val="24"/>
          <w:szCs w:val="24"/>
        </w:rPr>
        <w:t xml:space="preserve">                                  Мачковская Л.Я.</w:t>
      </w:r>
      <w:r w:rsidRPr="00304C7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FD6A9C" w:rsidRDefault="00FD6A9C"/>
    <w:sectPr w:rsidR="00FD6A9C" w:rsidSect="009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1E8"/>
    <w:multiLevelType w:val="hybridMultilevel"/>
    <w:tmpl w:val="92369CB4"/>
    <w:lvl w:ilvl="0" w:tplc="963E311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277"/>
    <w:rsid w:val="0009075E"/>
    <w:rsid w:val="00146FBA"/>
    <w:rsid w:val="00231D40"/>
    <w:rsid w:val="002329F7"/>
    <w:rsid w:val="00304C78"/>
    <w:rsid w:val="00346464"/>
    <w:rsid w:val="00575A34"/>
    <w:rsid w:val="005B26E5"/>
    <w:rsid w:val="005C4412"/>
    <w:rsid w:val="007805B2"/>
    <w:rsid w:val="00835A3A"/>
    <w:rsid w:val="009633CC"/>
    <w:rsid w:val="009C0277"/>
    <w:rsid w:val="00A52823"/>
    <w:rsid w:val="00B45903"/>
    <w:rsid w:val="00B81DA7"/>
    <w:rsid w:val="00BB3CA1"/>
    <w:rsid w:val="00C21A32"/>
    <w:rsid w:val="00D90D20"/>
    <w:rsid w:val="00D91C74"/>
    <w:rsid w:val="00DE1138"/>
    <w:rsid w:val="00FA251B"/>
    <w:rsid w:val="00FD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7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1D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827</Words>
  <Characters>4716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Oksana Kiritchenko</cp:lastModifiedBy>
  <cp:revision>3</cp:revision>
  <dcterms:created xsi:type="dcterms:W3CDTF">2014-05-26T19:44:00Z</dcterms:created>
  <dcterms:modified xsi:type="dcterms:W3CDTF">2014-05-27T17:58:00Z</dcterms:modified>
</cp:coreProperties>
</file>