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АННОТАЦИЯ</w:t>
      </w: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выпускной квалификационной работы на соискание степени магистра лингвистики</w:t>
      </w: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jc w:val="center"/>
        <w:rPr>
          <w:sz w:val="28"/>
          <w:szCs w:val="28"/>
        </w:rPr>
      </w:pP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Адамкович Вероники Андреевны</w:t>
      </w: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spacing w:line="360" w:lineRule="auto"/>
        <w:jc w:val="center"/>
        <w:rPr>
          <w:sz w:val="28"/>
          <w:szCs w:val="28"/>
        </w:rPr>
      </w:pP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«Закономерности перевода на французский язык русских вводных конструкций с глагольным компонентом»</w:t>
      </w:r>
      <w:r>
        <w:rPr>
          <w:rFonts w:ascii="Times New Roman"/>
          <w:sz w:val="28"/>
          <w:szCs w:val="28"/>
          <w:rtl w:val="0"/>
        </w:rPr>
        <w:t>.</w:t>
      </w: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jc w:val="center"/>
        <w:rPr>
          <w:sz w:val="28"/>
          <w:szCs w:val="28"/>
        </w:rPr>
      </w:pP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jc w:val="center"/>
        <w:rPr>
          <w:sz w:val="28"/>
          <w:szCs w:val="28"/>
        </w:rPr>
      </w:pP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Работа посвящена выявлению закономерностей в переводе вводных конструкций с глагольным компоненотом с русского языка на французский</w:t>
      </w:r>
      <w:r>
        <w:rPr>
          <w:rFonts w:ascii="Times New Roman"/>
          <w:sz w:val="28"/>
          <w:szCs w:val="28"/>
          <w:rtl w:val="0"/>
        </w:rPr>
        <w:t xml:space="preserve">. </w:t>
      </w: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spacing w:line="360" w:lineRule="auto"/>
        <w:jc w:val="both"/>
      </w:pPr>
      <w:r>
        <w:rPr>
          <w:sz w:val="28"/>
          <w:szCs w:val="28"/>
          <w:rtl w:val="0"/>
          <w:lang w:val="ru-RU"/>
        </w:rPr>
        <w:t>Структуру работы можно представить в виде трех основных частей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Первые две главы посвящены теоретическим вопросам описания вводных конструкций в русском и французском языках</w:t>
      </w:r>
      <w:r>
        <w:rPr>
          <w:rFonts w:ascii="Times New Roman"/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история их изучения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их основные функции и статус в современной грамматической системе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 третьей главе описывается практическое исследование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направленное на поиск регулярных соответствий между определенным типом вводной конструкции в современном русском языке и вариантом её передачи на французский язык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Материалом послужили примеры из романов </w:t>
      </w:r>
      <w:r>
        <w:rPr>
          <w:rFonts w:ascii="Times New Roman"/>
          <w:sz w:val="28"/>
          <w:szCs w:val="28"/>
          <w:rtl w:val="0"/>
        </w:rPr>
        <w:t xml:space="preserve">XX </w:t>
      </w:r>
      <w:r>
        <w:rPr>
          <w:sz w:val="28"/>
          <w:szCs w:val="28"/>
          <w:rtl w:val="0"/>
        </w:rPr>
        <w:t>века Бориса Акунина «Азазель»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«Статский советник» и «Турецкий гамбит»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 также их переводы на французский язык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Общий объем выборки составил около </w:t>
      </w:r>
      <w:r>
        <w:rPr>
          <w:rFonts w:ascii="Times New Roman"/>
          <w:sz w:val="28"/>
          <w:szCs w:val="28"/>
          <w:rtl w:val="0"/>
        </w:rPr>
        <w:t xml:space="preserve">400 </w:t>
      </w:r>
      <w:r>
        <w:rPr>
          <w:sz w:val="28"/>
          <w:szCs w:val="28"/>
          <w:rtl w:val="0"/>
          <w:lang w:val="ru-RU"/>
        </w:rPr>
        <w:t>речевых употреблений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Далее весь набор полученных единиц был распределен по семантическому признаку на семь групп и внутри каждой группы были выявлены особенности и закономерности передачи русской вводной конструкции на французский язык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page"/>
      </w:r>
    </w:p>
    <w:p>
      <w:pPr>
        <w:pStyle w:val="Обычный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spacing w:line="360" w:lineRule="auto"/>
        <w:jc w:val="both"/>
      </w:pP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