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34" w:rsidRPr="00502A1D" w:rsidRDefault="00185434" w:rsidP="001854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исследовани</w:t>
      </w:r>
      <w:r w:rsidR="00502A1D">
        <w:rPr>
          <w:rFonts w:ascii="Times New Roman" w:hAnsi="Times New Roman"/>
          <w:sz w:val="28"/>
          <w:szCs w:val="28"/>
        </w:rPr>
        <w:t>и рассматривается особая группа тургеневских «</w:t>
      </w:r>
      <w:proofErr w:type="spellStart"/>
      <w:r w:rsidR="00502A1D">
        <w:rPr>
          <w:rFonts w:ascii="Times New Roman" w:hAnsi="Times New Roman"/>
          <w:sz w:val="28"/>
          <w:szCs w:val="28"/>
        </w:rPr>
        <w:t>штудий</w:t>
      </w:r>
      <w:proofErr w:type="spellEnd"/>
      <w:r w:rsidR="00502A1D">
        <w:rPr>
          <w:rFonts w:ascii="Times New Roman" w:hAnsi="Times New Roman"/>
          <w:sz w:val="28"/>
          <w:szCs w:val="28"/>
        </w:rPr>
        <w:t>», традиционно</w:t>
      </w:r>
      <w:r w:rsidR="00AE7C4C">
        <w:rPr>
          <w:rFonts w:ascii="Times New Roman" w:hAnsi="Times New Roman"/>
          <w:sz w:val="28"/>
          <w:szCs w:val="28"/>
        </w:rPr>
        <w:t xml:space="preserve"> относящих</w:t>
      </w:r>
      <w:r w:rsidR="00502A1D">
        <w:rPr>
          <w:rFonts w:ascii="Times New Roman" w:hAnsi="Times New Roman"/>
          <w:sz w:val="28"/>
          <w:szCs w:val="28"/>
        </w:rPr>
        <w:t>ся к «таинствен</w:t>
      </w:r>
      <w:r w:rsidR="00AE7C4C">
        <w:rPr>
          <w:rFonts w:ascii="Times New Roman" w:hAnsi="Times New Roman"/>
          <w:sz w:val="28"/>
          <w:szCs w:val="28"/>
        </w:rPr>
        <w:t>ным повестям», однако обладающих</w:t>
      </w:r>
      <w:r w:rsidR="00502A1D">
        <w:rPr>
          <w:rFonts w:ascii="Times New Roman" w:hAnsi="Times New Roman"/>
          <w:sz w:val="28"/>
          <w:szCs w:val="28"/>
        </w:rPr>
        <w:t xml:space="preserve"> своими уникальными особ</w:t>
      </w:r>
      <w:r w:rsidR="000629A8">
        <w:rPr>
          <w:rFonts w:ascii="Times New Roman" w:hAnsi="Times New Roman"/>
          <w:sz w:val="28"/>
          <w:szCs w:val="28"/>
        </w:rPr>
        <w:t>енностями поэтики и прагматики. В работе предпринята попытка</w:t>
      </w:r>
      <w:r w:rsidR="00502A1D">
        <w:rPr>
          <w:rFonts w:ascii="Times New Roman" w:hAnsi="Times New Roman"/>
          <w:sz w:val="28"/>
          <w:szCs w:val="28"/>
        </w:rPr>
        <w:t xml:space="preserve"> </w:t>
      </w:r>
      <w:r w:rsidR="009C5215">
        <w:rPr>
          <w:rFonts w:ascii="Times New Roman" w:hAnsi="Times New Roman"/>
          <w:sz w:val="28"/>
          <w:szCs w:val="28"/>
        </w:rPr>
        <w:t xml:space="preserve">осмысления </w:t>
      </w:r>
      <w:r w:rsidR="00A94877">
        <w:rPr>
          <w:rFonts w:ascii="Times New Roman" w:hAnsi="Times New Roman"/>
          <w:sz w:val="28"/>
          <w:szCs w:val="28"/>
        </w:rPr>
        <w:t xml:space="preserve">этих текстов как единого высказывания, </w:t>
      </w:r>
      <w:r w:rsidR="000629A8">
        <w:rPr>
          <w:rFonts w:ascii="Times New Roman" w:hAnsi="Times New Roman"/>
          <w:sz w:val="28"/>
          <w:szCs w:val="28"/>
        </w:rPr>
        <w:t>выяснения</w:t>
      </w:r>
      <w:r w:rsidR="00A94877">
        <w:rPr>
          <w:rFonts w:ascii="Times New Roman" w:hAnsi="Times New Roman"/>
          <w:sz w:val="28"/>
          <w:szCs w:val="28"/>
        </w:rPr>
        <w:t xml:space="preserve"> их </w:t>
      </w:r>
      <w:r w:rsidR="00502A1D">
        <w:rPr>
          <w:rFonts w:ascii="Times New Roman" w:hAnsi="Times New Roman"/>
          <w:sz w:val="28"/>
          <w:szCs w:val="28"/>
        </w:rPr>
        <w:t>статуса внутри поля литературы</w:t>
      </w:r>
      <w:r w:rsidR="008D5D2E">
        <w:rPr>
          <w:rFonts w:ascii="Times New Roman" w:hAnsi="Times New Roman"/>
          <w:sz w:val="28"/>
          <w:szCs w:val="28"/>
        </w:rPr>
        <w:t xml:space="preserve"> </w:t>
      </w:r>
      <w:r w:rsidR="000629A8">
        <w:rPr>
          <w:rFonts w:ascii="Times New Roman" w:hAnsi="Times New Roman"/>
          <w:sz w:val="28"/>
          <w:szCs w:val="28"/>
        </w:rPr>
        <w:t>и влияния их на литературную</w:t>
      </w:r>
      <w:r w:rsidR="008D5D2E">
        <w:rPr>
          <w:rFonts w:ascii="Times New Roman" w:hAnsi="Times New Roman"/>
          <w:sz w:val="28"/>
          <w:szCs w:val="28"/>
        </w:rPr>
        <w:t xml:space="preserve"> </w:t>
      </w:r>
      <w:r w:rsidR="00566DFD">
        <w:rPr>
          <w:rFonts w:ascii="Times New Roman" w:hAnsi="Times New Roman"/>
          <w:sz w:val="28"/>
          <w:szCs w:val="28"/>
        </w:rPr>
        <w:t>репутацию</w:t>
      </w:r>
      <w:r w:rsidR="008D5D2E">
        <w:rPr>
          <w:rFonts w:ascii="Times New Roman" w:hAnsi="Times New Roman"/>
          <w:sz w:val="28"/>
          <w:szCs w:val="28"/>
        </w:rPr>
        <w:t xml:space="preserve"> автора</w:t>
      </w:r>
      <w:r w:rsidR="00502A1D">
        <w:rPr>
          <w:rFonts w:ascii="Times New Roman" w:hAnsi="Times New Roman"/>
          <w:sz w:val="28"/>
          <w:szCs w:val="28"/>
        </w:rPr>
        <w:t>.</w:t>
      </w:r>
    </w:p>
    <w:p w:rsidR="00185434" w:rsidRDefault="00185434" w:rsidP="001854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E7C4C">
        <w:rPr>
          <w:rFonts w:ascii="Times New Roman" w:hAnsi="Times New Roman"/>
          <w:sz w:val="28"/>
          <w:szCs w:val="28"/>
        </w:rPr>
        <w:t>исследовании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95F01">
        <w:rPr>
          <w:rFonts w:ascii="Times New Roman" w:hAnsi="Times New Roman"/>
          <w:sz w:val="28"/>
          <w:szCs w:val="28"/>
        </w:rPr>
        <w:t>преимущественно анализируется поэтика</w:t>
      </w:r>
      <w:r w:rsidR="00AF0639">
        <w:rPr>
          <w:rFonts w:ascii="Times New Roman" w:hAnsi="Times New Roman"/>
          <w:sz w:val="28"/>
          <w:szCs w:val="28"/>
        </w:rPr>
        <w:t xml:space="preserve"> </w:t>
      </w:r>
      <w:r w:rsidR="00A94877">
        <w:rPr>
          <w:rFonts w:ascii="Times New Roman" w:hAnsi="Times New Roman"/>
          <w:sz w:val="28"/>
          <w:szCs w:val="28"/>
        </w:rPr>
        <w:t>«таинственных»</w:t>
      </w:r>
      <w:r w:rsidR="008D5D2E">
        <w:rPr>
          <w:rFonts w:ascii="Times New Roman" w:hAnsi="Times New Roman"/>
          <w:sz w:val="28"/>
          <w:szCs w:val="28"/>
        </w:rPr>
        <w:t xml:space="preserve"> текстов</w:t>
      </w:r>
      <w:r w:rsidR="00AF0639">
        <w:rPr>
          <w:rFonts w:ascii="Times New Roman" w:hAnsi="Times New Roman"/>
          <w:sz w:val="28"/>
          <w:szCs w:val="28"/>
        </w:rPr>
        <w:t xml:space="preserve">. </w:t>
      </w:r>
      <w:r w:rsidR="00F95F01">
        <w:rPr>
          <w:rFonts w:ascii="Times New Roman" w:hAnsi="Times New Roman"/>
          <w:sz w:val="28"/>
          <w:szCs w:val="28"/>
        </w:rPr>
        <w:t>Однако в связи с обозначенной проблематикой большую важность пр</w:t>
      </w:r>
      <w:r w:rsidR="00F33148">
        <w:rPr>
          <w:rFonts w:ascii="Times New Roman" w:hAnsi="Times New Roman"/>
          <w:sz w:val="28"/>
          <w:szCs w:val="28"/>
        </w:rPr>
        <w:t>иобретает прагматический аспект,</w:t>
      </w:r>
      <w:r w:rsidR="00F95F01">
        <w:rPr>
          <w:rFonts w:ascii="Times New Roman" w:hAnsi="Times New Roman"/>
          <w:sz w:val="28"/>
          <w:szCs w:val="28"/>
        </w:rPr>
        <w:t xml:space="preserve"> </w:t>
      </w:r>
      <w:r w:rsidR="00F33148">
        <w:rPr>
          <w:rFonts w:ascii="Times New Roman" w:hAnsi="Times New Roman"/>
          <w:sz w:val="28"/>
          <w:szCs w:val="28"/>
        </w:rPr>
        <w:t>в</w:t>
      </w:r>
      <w:r w:rsidR="00566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6DFD">
        <w:rPr>
          <w:rFonts w:ascii="Times New Roman" w:hAnsi="Times New Roman"/>
          <w:sz w:val="28"/>
          <w:szCs w:val="28"/>
        </w:rPr>
        <w:t>связи</w:t>
      </w:r>
      <w:proofErr w:type="gramEnd"/>
      <w:r w:rsidR="00566DFD">
        <w:rPr>
          <w:rFonts w:ascii="Times New Roman" w:hAnsi="Times New Roman"/>
          <w:sz w:val="28"/>
          <w:szCs w:val="28"/>
        </w:rPr>
        <w:t xml:space="preserve"> с </w:t>
      </w:r>
      <w:r w:rsidR="00F33148">
        <w:rPr>
          <w:rFonts w:ascii="Times New Roman" w:hAnsi="Times New Roman"/>
          <w:sz w:val="28"/>
          <w:szCs w:val="28"/>
        </w:rPr>
        <w:t>чем</w:t>
      </w:r>
      <w:r w:rsidR="00566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DFD">
        <w:rPr>
          <w:rFonts w:ascii="Times New Roman" w:hAnsi="Times New Roman"/>
          <w:sz w:val="28"/>
          <w:szCs w:val="28"/>
        </w:rPr>
        <w:t>п</w:t>
      </w:r>
      <w:r w:rsidR="000629A8">
        <w:rPr>
          <w:rFonts w:ascii="Times New Roman" w:hAnsi="Times New Roman"/>
          <w:sz w:val="28"/>
          <w:szCs w:val="28"/>
        </w:rPr>
        <w:t>оэтологический</w:t>
      </w:r>
      <w:proofErr w:type="spellEnd"/>
      <w:r w:rsidR="000629A8">
        <w:rPr>
          <w:rFonts w:ascii="Times New Roman" w:hAnsi="Times New Roman"/>
          <w:sz w:val="28"/>
          <w:szCs w:val="28"/>
        </w:rPr>
        <w:t xml:space="preserve"> анализ</w:t>
      </w:r>
      <w:r w:rsidR="00DE5417">
        <w:rPr>
          <w:rFonts w:ascii="Times New Roman" w:hAnsi="Times New Roman"/>
          <w:sz w:val="28"/>
          <w:szCs w:val="28"/>
        </w:rPr>
        <w:t xml:space="preserve"> сочетается с рецептивным подходом</w:t>
      </w:r>
      <w:r w:rsidR="000629A8">
        <w:rPr>
          <w:rFonts w:ascii="Times New Roman" w:hAnsi="Times New Roman"/>
          <w:sz w:val="28"/>
          <w:szCs w:val="28"/>
        </w:rPr>
        <w:t>.</w:t>
      </w:r>
    </w:p>
    <w:p w:rsidR="00185434" w:rsidRPr="00502A1D" w:rsidRDefault="00185434" w:rsidP="001854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состоит из введения, трех глав и заключения. </w:t>
      </w:r>
      <w:r w:rsidR="00AF0639">
        <w:rPr>
          <w:rFonts w:ascii="Times New Roman" w:hAnsi="Times New Roman"/>
          <w:sz w:val="28"/>
          <w:szCs w:val="28"/>
        </w:rPr>
        <w:t xml:space="preserve">В первой главе рассматривается семантическая организация «таинственных» </w:t>
      </w:r>
      <w:proofErr w:type="spellStart"/>
      <w:r w:rsidR="00AF0639">
        <w:rPr>
          <w:rFonts w:ascii="Times New Roman" w:hAnsi="Times New Roman"/>
          <w:sz w:val="28"/>
          <w:szCs w:val="28"/>
        </w:rPr>
        <w:t>штудий</w:t>
      </w:r>
      <w:proofErr w:type="spellEnd"/>
      <w:r w:rsidR="00A94877">
        <w:rPr>
          <w:rFonts w:ascii="Times New Roman" w:hAnsi="Times New Roman"/>
          <w:sz w:val="28"/>
          <w:szCs w:val="28"/>
        </w:rPr>
        <w:t>, анализируются темы,</w:t>
      </w:r>
      <w:r w:rsidR="00DE5417">
        <w:rPr>
          <w:rFonts w:ascii="Times New Roman" w:hAnsi="Times New Roman"/>
          <w:sz w:val="28"/>
          <w:szCs w:val="28"/>
        </w:rPr>
        <w:t xml:space="preserve"> помещенные в центр повествования и вытесненные на периферию текста</w:t>
      </w:r>
      <w:r w:rsidR="00AF0639">
        <w:rPr>
          <w:rFonts w:ascii="Times New Roman" w:hAnsi="Times New Roman"/>
          <w:sz w:val="28"/>
          <w:szCs w:val="28"/>
        </w:rPr>
        <w:t xml:space="preserve">. Во второй главе исследуются особенности повествовательной организации </w:t>
      </w:r>
      <w:r w:rsidR="009C5215">
        <w:rPr>
          <w:rFonts w:ascii="Times New Roman" w:hAnsi="Times New Roman"/>
          <w:sz w:val="28"/>
          <w:szCs w:val="28"/>
        </w:rPr>
        <w:t xml:space="preserve">и композиции </w:t>
      </w:r>
      <w:r w:rsidR="00AF0639">
        <w:rPr>
          <w:rFonts w:ascii="Times New Roman" w:hAnsi="Times New Roman"/>
          <w:sz w:val="28"/>
          <w:szCs w:val="28"/>
        </w:rPr>
        <w:t>текстов. Третья глава посвящена проблемам пра</w:t>
      </w:r>
      <w:r w:rsidR="00566DFD">
        <w:rPr>
          <w:rFonts w:ascii="Times New Roman" w:hAnsi="Times New Roman"/>
          <w:sz w:val="28"/>
          <w:szCs w:val="28"/>
        </w:rPr>
        <w:t>гматики «таинственных повестей»:</w:t>
      </w:r>
      <w:r w:rsidR="00AF0639">
        <w:rPr>
          <w:rFonts w:ascii="Times New Roman" w:hAnsi="Times New Roman"/>
          <w:sz w:val="28"/>
          <w:szCs w:val="28"/>
        </w:rPr>
        <w:t xml:space="preserve"> фигуре предполагаемого адресата</w:t>
      </w:r>
      <w:r w:rsidR="009C5215">
        <w:rPr>
          <w:rFonts w:ascii="Times New Roman" w:hAnsi="Times New Roman"/>
          <w:sz w:val="28"/>
          <w:szCs w:val="28"/>
        </w:rPr>
        <w:t xml:space="preserve"> и рецептивной истории «</w:t>
      </w:r>
      <w:r w:rsidR="00A94877">
        <w:rPr>
          <w:rFonts w:ascii="Times New Roman" w:hAnsi="Times New Roman"/>
          <w:sz w:val="28"/>
          <w:szCs w:val="28"/>
        </w:rPr>
        <w:t>таинственных» текстов</w:t>
      </w:r>
      <w:r w:rsidR="00AF0639">
        <w:rPr>
          <w:rFonts w:ascii="Times New Roman" w:hAnsi="Times New Roman"/>
          <w:sz w:val="28"/>
          <w:szCs w:val="28"/>
        </w:rPr>
        <w:t xml:space="preserve">. </w:t>
      </w:r>
    </w:p>
    <w:p w:rsidR="00185434" w:rsidRPr="00185434" w:rsidRDefault="00E313F7" w:rsidP="001854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Произведенный анализ позволяет говорить о том, что исследуемые тексты в своем комплексе </w:t>
      </w:r>
      <w:r w:rsidR="009C5215">
        <w:rPr>
          <w:rFonts w:ascii="Times New Roman" w:hAnsi="Times New Roman"/>
          <w:sz w:val="28"/>
          <w:szCs w:val="28"/>
        </w:rPr>
        <w:t xml:space="preserve">не только предлагают специфический подход к описанию личности, но и </w:t>
      </w:r>
      <w:r>
        <w:rPr>
          <w:rFonts w:ascii="Times New Roman" w:hAnsi="Times New Roman"/>
          <w:sz w:val="28"/>
          <w:szCs w:val="28"/>
        </w:rPr>
        <w:t xml:space="preserve">конструируют особый образ автора, маску писателя-маргинала, которая является частью литературного поведения и репутации Тургенева. </w:t>
      </w:r>
    </w:p>
    <w:sectPr w:rsidR="00185434" w:rsidRPr="00185434" w:rsidSect="00B0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CC"/>
    <w:rsid w:val="000629A8"/>
    <w:rsid w:val="00185434"/>
    <w:rsid w:val="002A302F"/>
    <w:rsid w:val="002B1647"/>
    <w:rsid w:val="00502A1D"/>
    <w:rsid w:val="00516C41"/>
    <w:rsid w:val="00560788"/>
    <w:rsid w:val="00566DFD"/>
    <w:rsid w:val="00567ACC"/>
    <w:rsid w:val="008D5D2E"/>
    <w:rsid w:val="00916F56"/>
    <w:rsid w:val="009B7C49"/>
    <w:rsid w:val="009C048F"/>
    <w:rsid w:val="009C5215"/>
    <w:rsid w:val="00A94877"/>
    <w:rsid w:val="00AE7C4C"/>
    <w:rsid w:val="00AF0639"/>
    <w:rsid w:val="00B043A6"/>
    <w:rsid w:val="00DE5417"/>
    <w:rsid w:val="00E313F7"/>
    <w:rsid w:val="00F33148"/>
    <w:rsid w:val="00F4129A"/>
    <w:rsid w:val="00F94463"/>
    <w:rsid w:val="00F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ACC"/>
  </w:style>
  <w:style w:type="character" w:styleId="a3">
    <w:name w:val="Hyperlink"/>
    <w:basedOn w:val="a0"/>
    <w:uiPriority w:val="99"/>
    <w:semiHidden/>
    <w:unhideWhenUsed/>
    <w:rsid w:val="00567A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ACC"/>
  </w:style>
  <w:style w:type="character" w:styleId="a3">
    <w:name w:val="Hyperlink"/>
    <w:basedOn w:val="a0"/>
    <w:uiPriority w:val="99"/>
    <w:semiHidden/>
    <w:unhideWhenUsed/>
    <w:rsid w:val="00567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Personal</cp:lastModifiedBy>
  <cp:revision>3</cp:revision>
  <cp:lastPrinted>2015-05-24T14:00:00Z</cp:lastPrinted>
  <dcterms:created xsi:type="dcterms:W3CDTF">2015-05-25T11:34:00Z</dcterms:created>
  <dcterms:modified xsi:type="dcterms:W3CDTF">2015-05-25T12:24:00Z</dcterms:modified>
</cp:coreProperties>
</file>