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АННОТАЦИЯ</w:t>
      </w: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выпускной квалификационной работы на соискание степени магистра лингвистики</w:t>
      </w: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jc w:val="center"/>
        <w:rPr>
          <w:sz w:val="28"/>
          <w:szCs w:val="28"/>
        </w:rPr>
      </w:pP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Адамкович Вероники Андреевны</w:t>
      </w: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«Закономерности перевода на французский язык русских вводных конструкций с глагольным компонентом»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jc w:val="center"/>
        <w:rPr>
          <w:sz w:val="28"/>
          <w:szCs w:val="28"/>
        </w:rPr>
      </w:pP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jc w:val="center"/>
        <w:rPr>
          <w:sz w:val="28"/>
          <w:szCs w:val="28"/>
        </w:rPr>
      </w:pP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Работа посвящена выявлению закономерностей в переводе вводных конструкций с глагольным компоненотом с русского языка на французский</w:t>
      </w:r>
      <w:r>
        <w:rPr>
          <w:rFonts w:ascii="Times New Roman"/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pacing w:line="360" w:lineRule="auto"/>
        <w:jc w:val="both"/>
      </w:pPr>
      <w:r>
        <w:rPr>
          <w:sz w:val="28"/>
          <w:szCs w:val="28"/>
          <w:rtl w:val="0"/>
          <w:lang w:val="ru-RU"/>
        </w:rPr>
        <w:t>Структуру работы можно представить в виде трех основных частей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Первые две главы посвящены теоретическим вопросам описания вводных конструкций в русском и французском языках</w:t>
      </w:r>
      <w:r>
        <w:rPr>
          <w:rFonts w:ascii="Times New Roman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история их изучения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их основные функции и статус в современной грамматической системе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В третьей главе описывается практическое исследование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направленное на поиск регулярных соответствий между определенным типом вводной конструкции в современном русском языке и вариантом её передачи на французский язык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Материалом послужили примеры из романов </w:t>
      </w:r>
      <w:r>
        <w:rPr>
          <w:rFonts w:ascii="Times New Roman"/>
          <w:sz w:val="28"/>
          <w:szCs w:val="28"/>
          <w:rtl w:val="0"/>
        </w:rPr>
        <w:t xml:space="preserve">XX </w:t>
      </w:r>
      <w:r>
        <w:rPr>
          <w:sz w:val="28"/>
          <w:szCs w:val="28"/>
          <w:rtl w:val="0"/>
        </w:rPr>
        <w:t>века Бориса Акунина «Азазель»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«Статский советник» и «Турецкий гамбит»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а также их переводы на французский язык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Общий объем выборки составил около </w:t>
      </w:r>
      <w:r>
        <w:rPr>
          <w:rFonts w:ascii="Times New Roman"/>
          <w:sz w:val="28"/>
          <w:szCs w:val="28"/>
          <w:rtl w:val="0"/>
        </w:rPr>
        <w:t xml:space="preserve">400 </w:t>
      </w:r>
      <w:r>
        <w:rPr>
          <w:sz w:val="28"/>
          <w:szCs w:val="28"/>
          <w:rtl w:val="0"/>
          <w:lang w:val="ru-RU"/>
        </w:rPr>
        <w:t>речевых употреблений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Далее весь набор полученных единиц был распределен по семантическому признаку на семь групп и внутри каждой группы были выявлены особенности и закономерности передачи русской вводной конструкции на французский язык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page"/>
      </w:r>
    </w:p>
    <w:p>
      <w:pPr>
        <w:pStyle w:val="Обычный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pacing w:line="360" w:lineRule="auto"/>
        <w:jc w:val="both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