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hAnsi="Times New Roman" w:hint="default"/>
          <w:b w:val="1"/>
          <w:bCs w:val="1"/>
          <w:sz w:val="28"/>
          <w:szCs w:val="28"/>
          <w:rtl w:val="0"/>
          <w:lang w:val="ru-RU"/>
        </w:rPr>
        <w:t>Аннотация</w:t>
      </w:r>
    </w:p>
    <w:p>
      <w:pPr>
        <w:pStyle w:val="Текстовый блок A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выпускной квалификационной работы магистра лингвистики</w:t>
      </w:r>
    </w:p>
    <w:p>
      <w:pPr>
        <w:pStyle w:val="Текстовый блок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360" w:lineRule="auto"/>
        <w:ind w:left="0" w:right="0" w:firstLine="85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ЛЮ ДАНЬ на тему</w:t>
      </w:r>
      <w:r>
        <w:rPr>
          <w:rFonts w:ascii="Times New Roman"/>
          <w:b w:val="1"/>
          <w:bCs w:val="1"/>
          <w:sz w:val="28"/>
          <w:szCs w:val="28"/>
          <w:u w:color="000000"/>
          <w:rtl w:val="0"/>
        </w:rPr>
        <w:t xml:space="preserve"> 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«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Русские фразеологизмы со значениями 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«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</w:rPr>
        <w:t>учеб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а»</w:t>
      </w:r>
      <w:r>
        <w:rPr>
          <w:rFonts w:asci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«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</w:rPr>
        <w:t>труд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» 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</w:rPr>
        <w:t>и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«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</w:rPr>
        <w:t>работа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»</w:t>
      </w:r>
      <w:r>
        <w:rPr>
          <w:rFonts w:ascii="Times New Roman"/>
          <w:b w:val="1"/>
          <w:bCs w:val="1"/>
          <w:sz w:val="28"/>
          <w:szCs w:val="28"/>
          <w:u w:color="000000"/>
          <w:rtl w:val="0"/>
        </w:rPr>
        <w:t xml:space="preserve">: 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лингвокультурологический аспект </w:t>
      </w:r>
      <w:r>
        <w:rPr>
          <w:rFonts w:ascii="Times New Roman"/>
          <w:b w:val="1"/>
          <w:bCs w:val="1"/>
          <w:sz w:val="28"/>
          <w:szCs w:val="28"/>
          <w:u w:color="000000"/>
          <w:rtl w:val="0"/>
        </w:rPr>
        <w:t>(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на фоне китайского языка</w:t>
      </w:r>
      <w:r>
        <w:rPr>
          <w:rFonts w:ascii="Times New Roman"/>
          <w:b w:val="1"/>
          <w:bCs w:val="1"/>
          <w:sz w:val="28"/>
          <w:szCs w:val="28"/>
          <w:u w:color="000000"/>
          <w:rtl w:val="0"/>
        </w:rPr>
        <w:t>)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»</w:t>
      </w:r>
    </w:p>
    <w:p>
      <w:pPr>
        <w:pStyle w:val="Текстовый блок A"/>
        <w:spacing w:line="360" w:lineRule="auto"/>
        <w:ind w:firstLine="709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 xml:space="preserve">Научный руководитель 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к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ф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н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., </w:t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ст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преподаватель Крундышев М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/>
          <w:sz w:val="24"/>
          <w:szCs w:val="24"/>
          <w:u w:color="000000"/>
          <w:rtl w:val="0"/>
          <w:lang w:val="ru-RU"/>
        </w:rPr>
        <w:t>.</w:t>
      </w:r>
    </w:p>
    <w:p>
      <w:pPr>
        <w:pStyle w:val="Текстовый блок A"/>
        <w:spacing w:line="360" w:lineRule="auto"/>
        <w:ind w:firstLine="709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Текстовый блок A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Работа посвящена лингвокультурологическому анализу русских фразеологизмов со значениями «труд»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«работа» и «учеба»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представляющих собой фразеологическое отражение наиболее важных аспектов повседневной жизни народа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 xml:space="preserve">,  </w:t>
      </w:r>
      <w:r>
        <w:rPr>
          <w:rFonts w:hAnsi="Times New Roman" w:hint="default"/>
          <w:sz w:val="28"/>
          <w:szCs w:val="28"/>
          <w:u w:color="000000"/>
          <w:rtl w:val="0"/>
          <w:lang w:val="ru-RU"/>
        </w:rPr>
        <w:t>на фоне соответствующих фразеологизмов китайского языка</w:t>
      </w:r>
      <w:r>
        <w:rPr>
          <w:rFonts w:asci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Текстовый блок"/>
        <w:spacing w:line="360" w:lineRule="auto"/>
        <w:ind w:firstLine="709"/>
        <w:jc w:val="both"/>
      </w:pPr>
      <w:r>
        <w:rPr>
          <w:rFonts w:hAnsi="Times New Roman" w:hint="default"/>
          <w:sz w:val="28"/>
          <w:szCs w:val="28"/>
          <w:rtl w:val="0"/>
          <w:lang w:val="ru-RU"/>
        </w:rPr>
        <w:t>В процессе исследования раскрываются понятийный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образный и ценностный аспекты лингвокультурологических концептов «работа»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«труд» и «учеба»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 основании чего приводится классификация фразеологизмов с соответствующими значениями по структурному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семантическому признаку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Для фразеологизмов каждой группы определяется смысловая и коннотационная доминанта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Проводится сопоставление с китайской фразеологической системой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выделяется общее и различное во фразеологизмах со значениями «работа»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«труд» и «учеба» в русском и китайском языках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