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A2" w:rsidRPr="002038F9"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rPr>
      </w:pPr>
      <w:r w:rsidRPr="002038F9">
        <w:rPr>
          <w:b/>
        </w:rPr>
        <w:t>Литературная культура России XVIII века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 С. Волков, канд-р филол. наук,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Формирование терминологии гуманитарных наук</w:t>
      </w:r>
      <w:r>
        <w:rPr>
          <w:rFonts w:eastAsia="Times New Roman"/>
          <w:b/>
          <w:lang w:val="en-US"/>
        </w:rPr>
        <w:t xml:space="preserve"> </w:t>
      </w:r>
      <w:r>
        <w:rPr>
          <w:rFonts w:eastAsia="Times New Roman"/>
          <w:b/>
        </w:rPr>
        <w:t>в период русского Просвещения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 Создание «Электронной терминологической базы данных» (проект филологического факультета СПбГУ) на современном этапе развития гуманитарных наук и в условиях реализации современной университетской модели образования представляется особо актуальным. Не менее интересным является описание постепенного развития и сложения терминосистемы гуманитарных наук, т. е. описание развертывания этой системы в диахронии. Новые и интересные материалы для изучения процессов сложения терминологических систем гуманитарных наук (грамматика, поэтика, риторика, стилистика) предоставляет корпус грамматических и риторических трактатов XVIII в. Многие из них — реликвии русской филологической культуры — не изучались ранее, сохранились только в архивах или на полках фондов «редкой» книги библиотек России. Следует, вероятно, поставить вопрос о необходимости разработки специальной программы, которая предусматривала бы исследование, комментирование, а затем и публикацию такого рода источников, подготовку их виртуальных копий в составе электронных библиотек.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2. Мы получили в наследство от русского Просвещения три группы «филологических» источников: 1) </w:t>
      </w:r>
      <w:r>
        <w:rPr>
          <w:rFonts w:eastAsia="Times New Roman"/>
          <w:i/>
          <w:lang w:val="en-US"/>
        </w:rPr>
        <w:t xml:space="preserve">grammaticae philosophicae </w:t>
      </w:r>
      <w:r>
        <w:rPr>
          <w:rFonts w:eastAsia="Times New Roman"/>
        </w:rPr>
        <w:t xml:space="preserve">или «всеобщие рациональные грамматики», ставящие целью дать общее описание языка (а не только его грамматической системы). Среди этих грамматик — «Российская грамматика М. В. Ломоносова», «Первые основания российского языка» В. Е. Адодурова, «Российская грамматика» А. А. Барсова и др.; 2) </w:t>
      </w:r>
      <w:r>
        <w:rPr>
          <w:rFonts w:eastAsia="Times New Roman"/>
          <w:i/>
          <w:lang w:val="en-US"/>
        </w:rPr>
        <w:t>grammatic</w:t>
      </w:r>
      <w:r>
        <w:rPr>
          <w:rFonts w:eastAsia="Times New Roman"/>
          <w:i/>
        </w:rPr>
        <w:t xml:space="preserve">ae </w:t>
      </w:r>
      <w:r>
        <w:rPr>
          <w:rFonts w:eastAsia="Times New Roman"/>
          <w:i/>
          <w:lang w:val="en-US"/>
        </w:rPr>
        <w:t xml:space="preserve">civiles </w:t>
      </w:r>
      <w:r>
        <w:rPr>
          <w:rFonts w:eastAsia="Times New Roman"/>
        </w:rPr>
        <w:t xml:space="preserve">или практические грамматики, задача которых — дать практические навыки владения языком (часто через сопоставление с родным языком учащихся). Таких грамматик в XVIII в. выпущено много; все они значимы в историко-культурном, терминологическом и методическим аспектах, так как восходят к разным школам и традициям: назовем в качестве примера малоизвестную </w:t>
      </w:r>
      <w:r>
        <w:rPr>
          <w:rFonts w:eastAsia="Times New Roman"/>
        </w:rPr>
        <w:lastRenderedPageBreak/>
        <w:t xml:space="preserve">современным филологам «Grammaire et Méthode Russes et Françoises» Ж. Сойе (Jean Sohier или Soyer), «Готшедову немецкую грамматику ... для пользы российскаго благородного юношества напечатанную», грамматику английского языка П. Жданова и мн. др. В число таких источников может быть включена рукописная русско-французская грамматика неизвестного автора 50-х гг. XVIII в., которую посчастливилось обнаружить в архиве Академии наук. Часто сопоставление терминологических единиц в разных грамматиках позволяет увидеть типичную для языка XVIII в. конкуренцию вариантов (см. </w:t>
      </w:r>
      <w:r>
        <w:rPr>
          <w:rFonts w:eastAsia="Times New Roman"/>
          <w:i/>
        </w:rPr>
        <w:t>жестокий согласный</w:t>
      </w:r>
      <w:r>
        <w:rPr>
          <w:rFonts w:eastAsia="Times New Roman"/>
        </w:rPr>
        <w:t xml:space="preserve"> — </w:t>
      </w:r>
      <w:r>
        <w:rPr>
          <w:rFonts w:eastAsia="Times New Roman"/>
          <w:i/>
        </w:rPr>
        <w:t>твердый согласный</w:t>
      </w:r>
      <w:r>
        <w:rPr>
          <w:rFonts w:eastAsia="Times New Roman"/>
        </w:rPr>
        <w:t xml:space="preserve">; </w:t>
      </w:r>
      <w:r>
        <w:rPr>
          <w:rFonts w:eastAsia="Times New Roman"/>
          <w:i/>
        </w:rPr>
        <w:t>безгласный согласный</w:t>
      </w:r>
      <w:r>
        <w:rPr>
          <w:rFonts w:eastAsia="Times New Roman"/>
        </w:rPr>
        <w:t xml:space="preserve"> — </w:t>
      </w:r>
      <w:r>
        <w:rPr>
          <w:rFonts w:eastAsia="Times New Roman"/>
          <w:i/>
        </w:rPr>
        <w:t>глухой согласный</w:t>
      </w:r>
      <w:r>
        <w:rPr>
          <w:rFonts w:eastAsia="Times New Roman"/>
        </w:rPr>
        <w:t xml:space="preserve">, </w:t>
      </w:r>
      <w:r>
        <w:rPr>
          <w:rFonts w:eastAsia="Times New Roman"/>
          <w:bCs/>
          <w:i/>
        </w:rPr>
        <w:t>неправильный глагол</w:t>
      </w:r>
      <w:r>
        <w:rPr>
          <w:rFonts w:eastAsia="Times New Roman"/>
          <w:bCs/>
        </w:rPr>
        <w:t xml:space="preserve"> — </w:t>
      </w:r>
      <w:r>
        <w:rPr>
          <w:rFonts w:eastAsia="Times New Roman"/>
          <w:bCs/>
          <w:i/>
        </w:rPr>
        <w:t>аномалон</w:t>
      </w:r>
      <w:r>
        <w:rPr>
          <w:rFonts w:eastAsia="Times New Roman"/>
          <w:bCs/>
        </w:rPr>
        <w:t xml:space="preserve"> — </w:t>
      </w:r>
      <w:r>
        <w:rPr>
          <w:rFonts w:eastAsia="Times New Roman"/>
          <w:bCs/>
          <w:i/>
        </w:rPr>
        <w:t>неправилное вербум</w:t>
      </w:r>
      <w:r>
        <w:rPr>
          <w:rFonts w:eastAsia="Times New Roman"/>
          <w:i/>
        </w:rPr>
        <w:t xml:space="preserve"> </w:t>
      </w:r>
      <w:r>
        <w:rPr>
          <w:rFonts w:eastAsia="Times New Roman"/>
        </w:rPr>
        <w:t>и др.). Материалы грамматик содержат в «распыленном» виде нормативные решения и рекомендации, демонстрируют процесс утверждения литературной нормы, а корпус русских примеров представляет новые неожиданные факты для исторической лексикологии и фразеологии; 3) трактаты и руководства по красноречию и риторике. Риторические труды М. В. Ломоносова известны и пользуются всеобщим уважением, но не менее значимы «Риторическая рука» Стефана Яворского в переводе Ф. Поликарпова, риторики арх. Амвросия (Серебренникова) и И. С. Рижского.</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Все подобные источники представляют собой непредвзятые и некомпилятивные пособия по истории лингвистических взглядов, идей, теорий, «рефлексий» и мнений. Их материалы могут найти самое разнообразное применение в теоретических исследованиях и в учебном процессе, в том числе и для подготовки исторического комментария (справки) к современным филологическим терминам.</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S. S. Volkov </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b/>
          <w:bCs/>
          <w:lang w:val="en"/>
        </w:rPr>
      </w:pPr>
      <w:r>
        <w:rPr>
          <w:rStyle w:val="hps"/>
          <w:rFonts w:eastAsia="Times New Roman"/>
          <w:b/>
          <w:bCs/>
          <w:lang w:val="en"/>
        </w:rPr>
        <w:t>Terminology of the Humanities formation at the Age of the Russian Enlightenment</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lang w:val="en"/>
        </w:rPr>
      </w:pPr>
      <w:r>
        <w:rPr>
          <w:rStyle w:val="hps"/>
          <w:rFonts w:eastAsia="Times New Roman"/>
          <w:lang w:val="en"/>
        </w:rPr>
        <w:t xml:space="preserve">The paper presents an overview of term system formation </w:t>
      </w:r>
      <w:r>
        <w:rPr>
          <w:rStyle w:val="hpsatn"/>
          <w:rFonts w:eastAsia="Times New Roman"/>
          <w:lang w:val="en"/>
        </w:rPr>
        <w:t>(</w:t>
      </w:r>
      <w:r>
        <w:rPr>
          <w:rFonts w:eastAsia="Times New Roman"/>
          <w:lang w:val="en"/>
        </w:rPr>
        <w:t xml:space="preserve">grammar, poetics, rhetoric, stylistics) in Russia in the </w:t>
      </w:r>
      <w:r>
        <w:rPr>
          <w:rStyle w:val="hps"/>
          <w:rFonts w:eastAsia="Times New Roman"/>
          <w:lang w:val="en"/>
        </w:rPr>
        <w:t>XVIII</w:t>
      </w:r>
      <w:r>
        <w:rPr>
          <w:rFonts w:eastAsia="Times New Roman"/>
          <w:lang w:val="en"/>
        </w:rPr>
        <w:t xml:space="preserve"> </w:t>
      </w:r>
      <w:r>
        <w:rPr>
          <w:rStyle w:val="hps"/>
          <w:rFonts w:eastAsia="Times New Roman"/>
          <w:lang w:val="en"/>
        </w:rPr>
        <w:t>century.</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М. Г. Маматова, магистр лингвистики,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w:t>
      </w:r>
      <w:r>
        <w:rPr>
          <w:rFonts w:eastAsia="Times New Roman"/>
          <w:b/>
          <w:bCs/>
          <w:lang w:val="en-US"/>
        </w:rPr>
        <w:t xml:space="preserve"> </w:t>
      </w:r>
      <w:r>
        <w:rPr>
          <w:rFonts w:eastAsia="Times New Roman"/>
          <w:b/>
          <w:bCs/>
        </w:rPr>
        <w:t>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Метафоры М. В. Ломоносова в аспекте исторической лексикографии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Изучение метафор в поэтическом языке М. В. Ломоносова</w:t>
      </w:r>
      <w:r>
        <w:rPr>
          <w:rStyle w:val="a"/>
          <w:rFonts w:eastAsia="Times New Roman"/>
        </w:rPr>
        <w:footnoteReference w:id="1"/>
      </w:r>
      <w:r>
        <w:rPr>
          <w:rFonts w:eastAsia="Times New Roman"/>
        </w:rPr>
        <w:t xml:space="preserve"> представляет собой диахроническое исследование, которое предполагает обращение к словарям и грамматикам, описывающим языковое состояние рассматриваемого периода. Толковые словари обычно фиксируют переносное употребление лишь в рамках языковой метафоры (далее ЯМ), которая представляет собой «готовый элемент лексики» [Г.</w:t>
      </w:r>
      <w:r>
        <w:rPr>
          <w:rFonts w:eastAsia="Times New Roman"/>
          <w:lang w:val="en-US"/>
        </w:rPr>
        <w:t xml:space="preserve"> </w:t>
      </w:r>
      <w:r>
        <w:rPr>
          <w:rFonts w:eastAsia="Times New Roman"/>
        </w:rPr>
        <w:t>Н.</w:t>
      </w:r>
      <w:r>
        <w:rPr>
          <w:rFonts w:eastAsia="Times New Roman"/>
          <w:lang w:val="en-US"/>
        </w:rPr>
        <w:t xml:space="preserve"> </w:t>
      </w:r>
      <w:r>
        <w:rPr>
          <w:rFonts w:eastAsia="Times New Roman"/>
        </w:rPr>
        <w:t>Скляревская, 2004, с. 34]. Данное обстоятельство, наряду с воспроизводимостью и анонимностью ЯМ, создает условия для внесения ее в толковый словарь. С другой стороны, уникальность, невоспроизводимость и «авторство» художественной метафоры (далее ХМ) не позволяет дать последней полное и исчерпывающее словарное описание.</w:t>
      </w:r>
    </w:p>
    <w:p w:rsidR="00DD42A2" w:rsidRDefault="00DD42A2" w:rsidP="00DD42A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Существующая в современной лексикографии проблема метаязыка толкового словаря [Виноградов, 1977; Кутина, 1980; Лагута, 2003, с. 147] не позволяет исследователю четко разграничить ЯМ и ХМ, основываясь лишь на данных словарей. Так, при работе с метафорами М. В. Ломоносова мы столкнулись с рядом проблем, которые можно свести к следующим:</w:t>
      </w:r>
    </w:p>
    <w:p w:rsidR="00DD42A2" w:rsidRDefault="00DD42A2" w:rsidP="00DD42A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Нерегулярное употребление пометы </w:t>
      </w:r>
      <w:r>
        <w:rPr>
          <w:rFonts w:eastAsia="Times New Roman"/>
          <w:i/>
        </w:rPr>
        <w:t>звезда</w:t>
      </w:r>
      <w:r>
        <w:rPr>
          <w:rFonts w:eastAsia="Times New Roman"/>
        </w:rPr>
        <w:t xml:space="preserve"> (*) либо нечеткое разделение основного и метафорического значений, на что указывала также Л. Л. Кутина [Кутина, 1980, с. 85]: «</w:t>
      </w:r>
      <w:r>
        <w:rPr>
          <w:rFonts w:eastAsia="Times New Roman"/>
          <w:i/>
        </w:rPr>
        <w:t xml:space="preserve">Златой уже денницы перст / </w:t>
      </w:r>
      <w:r>
        <w:rPr>
          <w:rFonts w:eastAsia="Times New Roman"/>
          <w:b/>
          <w:i/>
        </w:rPr>
        <w:t>Завесу</w:t>
      </w:r>
      <w:r>
        <w:rPr>
          <w:rFonts w:eastAsia="Times New Roman"/>
          <w:i/>
        </w:rPr>
        <w:t xml:space="preserve"> света вскрыл с звездами</w:t>
      </w:r>
      <w:r>
        <w:rPr>
          <w:rFonts w:eastAsia="Times New Roman"/>
        </w:rPr>
        <w:t>» [Ломоносов, 1959, с. 26]</w:t>
      </w:r>
      <w:r>
        <w:rPr>
          <w:rStyle w:val="a"/>
          <w:rFonts w:eastAsia="Times New Roman"/>
        </w:rPr>
        <w:footnoteReference w:id="2"/>
      </w:r>
      <w:r>
        <w:rPr>
          <w:rFonts w:eastAsia="Times New Roman"/>
        </w:rPr>
        <w:t xml:space="preserve"> (завеса — </w:t>
      </w:r>
      <w:r>
        <w:rPr>
          <w:rFonts w:eastAsia="Times New Roman"/>
          <w:i/>
        </w:rPr>
        <w:t xml:space="preserve">‘всякое висящее исткание к закрытию чего служащее’ </w:t>
      </w:r>
      <w:r>
        <w:rPr>
          <w:rFonts w:eastAsia="Times New Roman"/>
        </w:rPr>
        <w:t>[САР, 1, 1057—1058]</w:t>
      </w:r>
      <w:r>
        <w:rPr>
          <w:rStyle w:val="a"/>
          <w:rFonts w:eastAsia="Times New Roman"/>
        </w:rPr>
        <w:footnoteReference w:id="3"/>
      </w:r>
      <w:r>
        <w:rPr>
          <w:rFonts w:eastAsia="Times New Roman"/>
        </w:rPr>
        <w:t>, в качестве одного из примеров используется данная цитата). В Сл11—17 и Сл18 выделяется переносное значение данной лексемы. «</w:t>
      </w:r>
      <w:r>
        <w:rPr>
          <w:rFonts w:eastAsia="Times New Roman"/>
          <w:i/>
        </w:rPr>
        <w:t xml:space="preserve">Всего народа весел шум, / Как </w:t>
      </w:r>
      <w:r>
        <w:rPr>
          <w:rFonts w:eastAsia="Times New Roman"/>
          <w:b/>
          <w:i/>
        </w:rPr>
        <w:t>глас</w:t>
      </w:r>
      <w:r>
        <w:rPr>
          <w:rFonts w:eastAsia="Times New Roman"/>
          <w:i/>
        </w:rPr>
        <w:t xml:space="preserve"> вод многих. в верьх восходит</w:t>
      </w:r>
      <w:r>
        <w:rPr>
          <w:rFonts w:eastAsia="Times New Roman"/>
        </w:rPr>
        <w:t xml:space="preserve">» (60) — САР определяет данное употребление лексемы </w:t>
      </w:r>
      <w:r>
        <w:rPr>
          <w:rFonts w:eastAsia="Times New Roman"/>
          <w:i/>
        </w:rPr>
        <w:t>глас</w:t>
      </w:r>
      <w:r>
        <w:rPr>
          <w:rFonts w:eastAsia="Times New Roman"/>
        </w:rPr>
        <w:t xml:space="preserve"> в следующем значении: </w:t>
      </w:r>
      <w:r>
        <w:rPr>
          <w:rFonts w:eastAsia="Times New Roman"/>
          <w:i/>
        </w:rPr>
        <w:t xml:space="preserve">‘говоря о телах неодушевленных, употребляется вместо шума’ </w:t>
      </w:r>
      <w:r>
        <w:rPr>
          <w:rFonts w:eastAsia="Times New Roman"/>
        </w:rPr>
        <w:t>[САР, 2, 70—71]. При этом выделенное значение не сопровождается пометой переносного употребления. В Сл11—17 и Сл18 указанное значение не приводится, что позволяет сделать вывод о его контекстуальном, а не широко употребительном характере.</w:t>
      </w:r>
    </w:p>
    <w:p w:rsidR="00DD42A2" w:rsidRDefault="00DD42A2" w:rsidP="00DD42A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Значение слова, приведенное в САРе, сопровождается примером только из Ломоносова, а также может включать контекстуальные ограничения, что не всегда позволяет отнести исследуемую метафору к воспроизводимым и распространенным: «Науки юношей</w:t>
      </w:r>
      <w:r>
        <w:rPr>
          <w:rFonts w:eastAsia="Times New Roman"/>
          <w:b/>
        </w:rPr>
        <w:t xml:space="preserve"> питают</w:t>
      </w:r>
      <w:r>
        <w:rPr>
          <w:rFonts w:eastAsia="Times New Roman"/>
        </w:rPr>
        <w:t>, / Отраду</w:t>
      </w:r>
      <w:r>
        <w:rPr>
          <w:rFonts w:eastAsia="Times New Roman"/>
          <w:b/>
        </w:rPr>
        <w:t xml:space="preserve"> </w:t>
      </w:r>
      <w:r>
        <w:rPr>
          <w:rFonts w:eastAsia="Times New Roman"/>
        </w:rPr>
        <w:t xml:space="preserve">старым подают» (206) (питать — </w:t>
      </w:r>
      <w:r>
        <w:rPr>
          <w:rFonts w:eastAsia="Times New Roman"/>
          <w:i/>
        </w:rPr>
        <w:t xml:space="preserve">‘относительно к наукам значит: способствую к усовершенствованию разума, к большему просвещению’ </w:t>
      </w:r>
      <w:r>
        <w:rPr>
          <w:rFonts w:eastAsia="Times New Roman"/>
        </w:rPr>
        <w:t>[САР, 4, 820]).</w:t>
      </w:r>
    </w:p>
    <w:p w:rsidR="00DD42A2" w:rsidRDefault="00DD42A2" w:rsidP="00DD42A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Переносные значения слов в составе одного словообразовательного гнезда имеют разный набор сем, которые в одном случае объединяются в рамках одного значения, а в другом случае разводятся по разным значениям. Кроме этого, встречаются разные варианты их комбинации и нерегулярное употребление стилистических помет.</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Выход из сложившейся ситуации, по-видимому, мог бы быть найден в случае создания системы регулярных типов метафорических переносов, созданной на основе анализа обширного круга памятников </w:t>
      </w:r>
      <w:r>
        <w:rPr>
          <w:rFonts w:eastAsia="Times New Roman"/>
          <w:lang w:val="en-US"/>
        </w:rPr>
        <w:t>XVIII</w:t>
      </w:r>
      <w:r>
        <w:rPr>
          <w:rFonts w:eastAsia="Times New Roman"/>
        </w:rPr>
        <w:t xml:space="preserve"> в., однако данная задача представляет собой поле для будущих исследований.</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Виноградов В. В. </w:t>
      </w:r>
      <w:r>
        <w:rPr>
          <w:rFonts w:eastAsia="Times New Roman"/>
        </w:rPr>
        <w:t>О некоторых вопросах теории русской лексикографии // Виноградов В. В. Избранные труды. Лексикология и лексикография. М., 1977. С. 243—264.</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Кутина Л. Л.</w:t>
      </w:r>
      <w:r>
        <w:rPr>
          <w:rFonts w:eastAsia="Times New Roman"/>
        </w:rPr>
        <w:t xml:space="preserve"> Вопросы лексической семантики в Словаре Академии Российской (1789—1794 г. г.) // Словари и словарное дело в России </w:t>
      </w:r>
      <w:r>
        <w:rPr>
          <w:rFonts w:eastAsia="Times New Roman"/>
          <w:lang w:val="en-US"/>
        </w:rPr>
        <w:t>XVIII</w:t>
      </w:r>
      <w:r>
        <w:rPr>
          <w:rFonts w:eastAsia="Times New Roman"/>
        </w:rPr>
        <w:t xml:space="preserve"> в. Л., 1980. С. 70—89.</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Лагута О. Н.</w:t>
      </w:r>
      <w:r>
        <w:rPr>
          <w:rFonts w:eastAsia="Times New Roman"/>
        </w:rPr>
        <w:t xml:space="preserve"> Метафорология: теоретические аспекты. Ч. 2. Новосибирск, 2003.</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Ломоносов М. В.</w:t>
      </w:r>
      <w:r>
        <w:rPr>
          <w:rFonts w:eastAsia="Times New Roman"/>
        </w:rPr>
        <w:t xml:space="preserve"> Полное собрание сочинений. Т.8. М.; Л., 1959.</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САР — Словарь Академии Российской. Ч. I — VI. СПб., 1789—1794.</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Скляревская Г. Н.</w:t>
      </w:r>
      <w:r>
        <w:rPr>
          <w:rFonts w:eastAsia="Times New Roman"/>
        </w:rPr>
        <w:t xml:space="preserve"> Метафора в системе языка. СПб., 2004.</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Сл11—17 — Словарь русского языка </w:t>
      </w:r>
      <w:r>
        <w:rPr>
          <w:rFonts w:eastAsia="Times New Roman"/>
          <w:lang w:val="en-US"/>
        </w:rPr>
        <w:t>XI</w:t>
      </w:r>
      <w:r>
        <w:rPr>
          <w:rFonts w:eastAsia="Times New Roman"/>
        </w:rPr>
        <w:t xml:space="preserve"> — </w:t>
      </w:r>
      <w:r>
        <w:rPr>
          <w:rFonts w:eastAsia="Times New Roman"/>
          <w:lang w:val="en-US"/>
        </w:rPr>
        <w:t xml:space="preserve">XVII </w:t>
      </w:r>
      <w:r>
        <w:rPr>
          <w:rFonts w:eastAsia="Times New Roman"/>
        </w:rPr>
        <w:t>вв. Вып. 1—27. М., 1975—2006.</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 xml:space="preserve">Сл18 — Словарь русского языка </w:t>
      </w:r>
      <w:r>
        <w:rPr>
          <w:rFonts w:eastAsia="Times New Roman"/>
          <w:lang w:val="en-US"/>
        </w:rPr>
        <w:t xml:space="preserve">XVIII </w:t>
      </w:r>
      <w:r>
        <w:rPr>
          <w:rFonts w:eastAsia="Times New Roman"/>
        </w:rPr>
        <w:t>в. Вып 1—19. СПб</w:t>
      </w:r>
      <w:r>
        <w:rPr>
          <w:rFonts w:eastAsia="Times New Roman"/>
          <w:lang w:val="en-US"/>
        </w:rPr>
        <w:t>., 1984—2011.</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M. G. Mamatova</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metafors of M. V. Lomonosov in terms of historical lexicography</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lang w:val="en"/>
        </w:rPr>
      </w:pPr>
      <w:r>
        <w:rPr>
          <w:rStyle w:val="hps"/>
          <w:rFonts w:eastAsia="Times New Roman"/>
          <w:lang w:val="en"/>
        </w:rPr>
        <w:t>The study</w:t>
      </w:r>
      <w:r>
        <w:rPr>
          <w:rFonts w:eastAsia="Times New Roman"/>
          <w:lang w:val="en"/>
        </w:rPr>
        <w:t xml:space="preserve"> </w:t>
      </w:r>
      <w:r>
        <w:rPr>
          <w:rStyle w:val="hps"/>
          <w:rFonts w:eastAsia="Times New Roman"/>
          <w:lang w:val="en"/>
        </w:rPr>
        <w:t>of metaphor</w:t>
      </w:r>
      <w:r>
        <w:rPr>
          <w:rFonts w:eastAsia="Times New Roman"/>
          <w:lang w:val="en"/>
        </w:rPr>
        <w:t xml:space="preserve"> </w:t>
      </w:r>
      <w:r>
        <w:rPr>
          <w:rStyle w:val="hps"/>
          <w:rFonts w:eastAsia="Times New Roman"/>
          <w:lang w:val="en"/>
        </w:rPr>
        <w:t>is a necessary</w:t>
      </w:r>
      <w:r>
        <w:rPr>
          <w:rFonts w:eastAsia="Times New Roman"/>
          <w:lang w:val="en"/>
        </w:rPr>
        <w:t xml:space="preserve"> </w:t>
      </w:r>
      <w:r>
        <w:rPr>
          <w:rStyle w:val="hps"/>
          <w:rFonts w:eastAsia="Times New Roman"/>
          <w:lang w:val="en"/>
        </w:rPr>
        <w:t xml:space="preserve">stage </w:t>
      </w:r>
      <w:r>
        <w:rPr>
          <w:rStyle w:val="hps"/>
          <w:rFonts w:eastAsia="Times New Roman"/>
          <w:lang w:val="en-US"/>
        </w:rPr>
        <w:t>of the research</w:t>
      </w:r>
      <w:r>
        <w:rPr>
          <w:rFonts w:eastAsia="Times New Roman"/>
          <w:lang w:val="en"/>
        </w:rPr>
        <w:t xml:space="preserve"> </w:t>
      </w:r>
      <w:r>
        <w:rPr>
          <w:rStyle w:val="hps"/>
          <w:rFonts w:eastAsia="Times New Roman"/>
          <w:lang w:val="en"/>
        </w:rPr>
        <w:t>of the writer’s poetic language.</w:t>
      </w:r>
      <w:r>
        <w:rPr>
          <w:rFonts w:eastAsia="Times New Roman"/>
          <w:lang w:val="en"/>
        </w:rPr>
        <w:t xml:space="preserve"> </w:t>
      </w:r>
      <w:r>
        <w:rPr>
          <w:rFonts w:eastAsia="Times New Roman"/>
          <w:lang w:val="en-US"/>
        </w:rPr>
        <w:t>I</w:t>
      </w:r>
      <w:r>
        <w:rPr>
          <w:rStyle w:val="hps"/>
          <w:rFonts w:eastAsia="Times New Roman"/>
          <w:lang w:val="en"/>
        </w:rPr>
        <w:t>t involves</w:t>
      </w:r>
      <w:r>
        <w:rPr>
          <w:rFonts w:eastAsia="Times New Roman"/>
          <w:lang w:val="en"/>
        </w:rPr>
        <w:t xml:space="preserve"> </w:t>
      </w:r>
      <w:r>
        <w:rPr>
          <w:rStyle w:val="hps"/>
          <w:rFonts w:eastAsia="Times New Roman"/>
          <w:lang w:val="en"/>
        </w:rPr>
        <w:t>additional challenges</w:t>
      </w:r>
      <w:r>
        <w:rPr>
          <w:rFonts w:eastAsia="Times New Roman"/>
          <w:lang w:val="en"/>
        </w:rPr>
        <w:t xml:space="preserve"> </w:t>
      </w:r>
      <w:r>
        <w:rPr>
          <w:rStyle w:val="hps"/>
          <w:rFonts w:eastAsia="Times New Roman"/>
          <w:lang w:val="en"/>
        </w:rPr>
        <w:t>when</w:t>
      </w:r>
      <w:r>
        <w:rPr>
          <w:rFonts w:eastAsia="Times New Roman"/>
          <w:lang w:val="en"/>
        </w:rPr>
        <w:t xml:space="preserve"> </w:t>
      </w:r>
      <w:r>
        <w:rPr>
          <w:rStyle w:val="hps"/>
          <w:rFonts w:eastAsia="Times New Roman"/>
          <w:lang w:val="en"/>
        </w:rPr>
        <w:t>works</w:t>
      </w:r>
      <w:r>
        <w:rPr>
          <w:rFonts w:eastAsia="Times New Roman"/>
          <w:lang w:val="en"/>
        </w:rPr>
        <w:t xml:space="preserve"> </w:t>
      </w:r>
      <w:r>
        <w:rPr>
          <w:rStyle w:val="hps"/>
          <w:rFonts w:eastAsia="Times New Roman"/>
          <w:lang w:val="en"/>
        </w:rPr>
        <w:t>of</w:t>
      </w:r>
      <w:r>
        <w:rPr>
          <w:rFonts w:eastAsia="Times New Roman"/>
          <w:lang w:val="en"/>
        </w:rPr>
        <w:t xml:space="preserve"> </w:t>
      </w:r>
      <w:r>
        <w:rPr>
          <w:rStyle w:val="hps"/>
          <w:rFonts w:eastAsia="Times New Roman"/>
          <w:lang w:val="en"/>
        </w:rPr>
        <w:t>the writer</w:t>
      </w:r>
      <w:r>
        <w:rPr>
          <w:rFonts w:eastAsia="Times New Roman"/>
          <w:lang w:val="en"/>
        </w:rPr>
        <w:t xml:space="preserve"> </w:t>
      </w:r>
      <w:r>
        <w:rPr>
          <w:rStyle w:val="hps"/>
          <w:rFonts w:eastAsia="Times New Roman"/>
          <w:lang w:val="en"/>
        </w:rPr>
        <w:t>belongs to another</w:t>
      </w:r>
      <w:r>
        <w:rPr>
          <w:rFonts w:eastAsia="Times New Roman"/>
          <w:lang w:val="en"/>
        </w:rPr>
        <w:t xml:space="preserve"> </w:t>
      </w:r>
      <w:r>
        <w:rPr>
          <w:rStyle w:val="hps"/>
          <w:rFonts w:eastAsia="Times New Roman"/>
          <w:lang w:val="en"/>
        </w:rPr>
        <w:t>historical period.</w:t>
      </w:r>
      <w:r>
        <w:rPr>
          <w:rFonts w:eastAsia="Times New Roman"/>
          <w:lang w:val="en"/>
        </w:rPr>
        <w:t xml:space="preserve"> </w:t>
      </w:r>
      <w:r>
        <w:rPr>
          <w:rStyle w:val="hps"/>
          <w:rFonts w:eastAsia="Times New Roman"/>
          <w:lang w:val="en"/>
        </w:rPr>
        <w:t>In this case researcher has</w:t>
      </w:r>
      <w:r>
        <w:rPr>
          <w:rFonts w:eastAsia="Times New Roman"/>
          <w:lang w:val="en"/>
        </w:rPr>
        <w:t xml:space="preserve"> </w:t>
      </w:r>
      <w:r>
        <w:rPr>
          <w:rStyle w:val="hps"/>
          <w:rFonts w:eastAsia="Times New Roman"/>
          <w:lang w:val="en"/>
        </w:rPr>
        <w:t>to verify the results</w:t>
      </w:r>
      <w:r>
        <w:rPr>
          <w:rFonts w:eastAsia="Times New Roman"/>
          <w:lang w:val="en"/>
        </w:rPr>
        <w:t xml:space="preserve"> </w:t>
      </w:r>
      <w:r>
        <w:rPr>
          <w:rStyle w:val="hps"/>
          <w:rFonts w:eastAsia="Times New Roman"/>
          <w:lang w:val="en"/>
        </w:rPr>
        <w:t>of its work</w:t>
      </w:r>
      <w:r>
        <w:rPr>
          <w:rFonts w:eastAsia="Times New Roman"/>
          <w:lang w:val="en"/>
        </w:rPr>
        <w:t xml:space="preserve">, using historical </w:t>
      </w:r>
      <w:r>
        <w:rPr>
          <w:rStyle w:val="hps"/>
          <w:rFonts w:eastAsia="Times New Roman"/>
          <w:lang w:val="en"/>
        </w:rPr>
        <w:t>dictionaries and grammars.</w:t>
      </w:r>
      <w:r>
        <w:rPr>
          <w:rFonts w:eastAsia="Times New Roman"/>
          <w:lang w:val="en"/>
        </w:rPr>
        <w:t xml:space="preserve"> A metaphor</w:t>
      </w:r>
      <w:r>
        <w:rPr>
          <w:rStyle w:val="hps"/>
          <w:rFonts w:eastAsia="Times New Roman"/>
          <w:lang w:val="en"/>
        </w:rPr>
        <w:t xml:space="preserve"> can be defined</w:t>
      </w:r>
      <w:r>
        <w:rPr>
          <w:rFonts w:eastAsia="Times New Roman"/>
          <w:lang w:val="en"/>
        </w:rPr>
        <w:t xml:space="preserve"> </w:t>
      </w:r>
      <w:r>
        <w:rPr>
          <w:rStyle w:val="hps"/>
          <w:rFonts w:eastAsia="Times New Roman"/>
          <w:lang w:val="en"/>
        </w:rPr>
        <w:t>in the dictionaries</w:t>
      </w:r>
      <w:r>
        <w:rPr>
          <w:rFonts w:eastAsia="Times New Roman"/>
          <w:lang w:val="en"/>
        </w:rPr>
        <w:t xml:space="preserve"> </w:t>
      </w:r>
      <w:r>
        <w:rPr>
          <w:rStyle w:val="hps"/>
          <w:rFonts w:eastAsia="Times New Roman"/>
          <w:lang w:val="en"/>
        </w:rPr>
        <w:t>only if it is</w:t>
      </w:r>
      <w:r>
        <w:rPr>
          <w:rFonts w:eastAsia="Times New Roman"/>
          <w:lang w:val="en"/>
        </w:rPr>
        <w:t xml:space="preserve"> </w:t>
      </w:r>
      <w:r>
        <w:rPr>
          <w:rStyle w:val="hps"/>
          <w:rFonts w:eastAsia="Times New Roman"/>
          <w:lang w:val="en"/>
        </w:rPr>
        <w:t>common and</w:t>
      </w:r>
      <w:r>
        <w:rPr>
          <w:rFonts w:eastAsia="Times New Roman"/>
          <w:lang w:val="en"/>
        </w:rPr>
        <w:t xml:space="preserve"> </w:t>
      </w:r>
      <w:r>
        <w:rPr>
          <w:rStyle w:val="hps"/>
          <w:rFonts w:eastAsia="Times New Roman"/>
          <w:lang w:val="en"/>
        </w:rPr>
        <w:t>reproducible (</w:t>
      </w:r>
      <w:r>
        <w:rPr>
          <w:rFonts w:eastAsia="Times New Roman"/>
          <w:lang w:val="en"/>
        </w:rPr>
        <w:t xml:space="preserve">linguistic </w:t>
      </w:r>
      <w:r>
        <w:rPr>
          <w:rStyle w:val="hps"/>
          <w:rFonts w:eastAsia="Times New Roman"/>
          <w:lang w:val="en"/>
        </w:rPr>
        <w:t>metaphor).</w:t>
      </w:r>
      <w:r>
        <w:rPr>
          <w:rFonts w:eastAsia="Times New Roman"/>
          <w:lang w:val="en"/>
        </w:rPr>
        <w:t xml:space="preserve"> </w:t>
      </w:r>
      <w:r>
        <w:rPr>
          <w:rStyle w:val="hps"/>
          <w:rFonts w:eastAsia="Times New Roman"/>
          <w:lang w:val="en"/>
        </w:rPr>
        <w:t>The study</w:t>
      </w:r>
      <w:r>
        <w:rPr>
          <w:rFonts w:eastAsia="Times New Roman"/>
          <w:lang w:val="en"/>
        </w:rPr>
        <w:t xml:space="preserve"> </w:t>
      </w:r>
      <w:r>
        <w:rPr>
          <w:rStyle w:val="hps"/>
          <w:rFonts w:eastAsia="Times New Roman"/>
          <w:lang w:val="en"/>
        </w:rPr>
        <w:t>of metaphors</w:t>
      </w:r>
      <w:r>
        <w:rPr>
          <w:rFonts w:eastAsia="Times New Roman"/>
          <w:lang w:val="en"/>
        </w:rPr>
        <w:t xml:space="preserve"> in </w:t>
      </w:r>
      <w:r>
        <w:rPr>
          <w:rStyle w:val="hps"/>
          <w:rFonts w:eastAsia="Times New Roman"/>
          <w:lang w:val="en"/>
        </w:rPr>
        <w:t xml:space="preserve">Lomonosov’s poetic </w:t>
      </w:r>
      <w:r>
        <w:rPr>
          <w:rStyle w:val="hps"/>
          <w:rFonts w:eastAsia="Times New Roman"/>
          <w:lang w:val="en-US"/>
        </w:rPr>
        <w:t>language</w:t>
      </w:r>
      <w:r>
        <w:rPr>
          <w:rFonts w:eastAsia="Times New Roman"/>
          <w:lang w:val="en"/>
        </w:rPr>
        <w:t xml:space="preserve"> revealed that </w:t>
      </w:r>
      <w:r>
        <w:rPr>
          <w:rStyle w:val="hps"/>
          <w:rFonts w:eastAsia="Times New Roman"/>
          <w:lang w:val="en"/>
        </w:rPr>
        <w:t>this statement demands scrutiny,</w:t>
      </w:r>
      <w:r>
        <w:rPr>
          <w:rFonts w:eastAsia="Times New Roman"/>
          <w:lang w:val="en"/>
        </w:rPr>
        <w:t xml:space="preserve"> </w:t>
      </w:r>
      <w:r>
        <w:rPr>
          <w:rStyle w:val="hps"/>
          <w:rFonts w:eastAsia="Times New Roman"/>
          <w:lang w:val="en"/>
        </w:rPr>
        <w:t>because of the problem of</w:t>
      </w:r>
      <w:r>
        <w:rPr>
          <w:rFonts w:eastAsia="Times New Roman"/>
          <w:lang w:val="en"/>
        </w:rPr>
        <w:t xml:space="preserve"> the dictionary </w:t>
      </w:r>
      <w:r>
        <w:rPr>
          <w:rStyle w:val="hps"/>
          <w:rFonts w:eastAsia="Times New Roman"/>
          <w:lang w:val="en"/>
        </w:rPr>
        <w:t>metalanguages.</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К. В. Манерова, канд. филол. наук,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 В. Корышев, канд. филол. наук,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 истории европейского Просвещения: профессор истории и элоквенции И.-А. Гартман</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Для немецкого Просвещения периода второй половины </w:t>
      </w:r>
      <w:r>
        <w:rPr>
          <w:rFonts w:eastAsia="Times New Roman"/>
          <w:lang w:val="en-US"/>
        </w:rPr>
        <w:t>XVIII</w:t>
      </w:r>
      <w:r>
        <w:rPr>
          <w:rFonts w:eastAsia="Times New Roman"/>
        </w:rPr>
        <w:t xml:space="preserve"> в. понятия «</w:t>
      </w:r>
      <w:r>
        <w:rPr>
          <w:rFonts w:eastAsia="Times New Roman"/>
          <w:lang w:val="de-DE"/>
        </w:rPr>
        <w:t>Stil</w:t>
      </w:r>
      <w:r>
        <w:rPr>
          <w:rFonts w:eastAsia="Times New Roman"/>
        </w:rPr>
        <w:t>» (</w:t>
      </w:r>
      <w:r>
        <w:rPr>
          <w:rFonts w:eastAsia="Times New Roman"/>
          <w:lang w:val="en-US"/>
        </w:rPr>
        <w:t>c</w:t>
      </w:r>
      <w:r>
        <w:rPr>
          <w:rFonts w:eastAsia="Times New Roman"/>
        </w:rPr>
        <w:t>тиль) и «</w:t>
      </w:r>
      <w:r>
        <w:rPr>
          <w:rFonts w:eastAsia="Times New Roman"/>
          <w:lang w:val="de-DE"/>
        </w:rPr>
        <w:t>Geschmack</w:t>
      </w:r>
      <w:r>
        <w:rPr>
          <w:rFonts w:eastAsia="Times New Roman"/>
        </w:rPr>
        <w:t>» (вкус) являются устойчивыми константами, наряду с логико-философскими категориями «</w:t>
      </w:r>
      <w:r>
        <w:rPr>
          <w:rFonts w:eastAsia="Times New Roman"/>
          <w:lang w:val="de-DE"/>
        </w:rPr>
        <w:t>Vernunft</w:t>
      </w:r>
      <w:r>
        <w:rPr>
          <w:rFonts w:eastAsia="Times New Roman"/>
        </w:rPr>
        <w:t>» (разум) и «</w:t>
      </w:r>
      <w:r>
        <w:rPr>
          <w:rFonts w:eastAsia="Times New Roman"/>
          <w:lang w:val="en-US"/>
        </w:rPr>
        <w:t>D</w:t>
      </w:r>
      <w:r>
        <w:rPr>
          <w:rFonts w:eastAsia="Times New Roman"/>
          <w:lang w:val="de-DE"/>
        </w:rPr>
        <w:t>enken</w:t>
      </w:r>
      <w:r>
        <w:rPr>
          <w:rFonts w:eastAsia="Times New Roman"/>
        </w:rPr>
        <w:t xml:space="preserve">» (мышление). Научный и пуристический интерес к немецкому способствует его развитию и утверждению в статусе языка народа, обладающего высокоразвитой культурой (нем. </w:t>
      </w:r>
      <w:r>
        <w:rPr>
          <w:rFonts w:eastAsia="Times New Roman"/>
          <w:i/>
          <w:iCs/>
          <w:lang w:val="de-DE"/>
        </w:rPr>
        <w:t>Kultursprache</w:t>
      </w:r>
      <w:r>
        <w:rPr>
          <w:rFonts w:eastAsia="Times New Roman"/>
        </w:rPr>
        <w:t xml:space="preserve">). В это время язык для немцев становится идеологическим средством понимания и идентификации себя как нации, и, как следствие этой тенденции, в Германии возрастает интерес ко всему, что связано с изящным стилем: к обучению и преподаванию, к изучению риторики, ее истории. Одним из признанных мастеров элоквенции в Германии считают профессора Марбургского университета Иоганна Адольфа Гартмана. Его научные интересы, согласно тенденции универсализма, характерной для ученых </w:t>
      </w:r>
      <w:r>
        <w:rPr>
          <w:rFonts w:eastAsia="Times New Roman"/>
          <w:lang w:val="de-DE"/>
        </w:rPr>
        <w:t xml:space="preserve">XVIII </w:t>
      </w:r>
      <w:r>
        <w:rPr>
          <w:rFonts w:eastAsia="Times New Roman"/>
        </w:rPr>
        <w:t>в., охватывают несколько сфер: историю, философию, теологию, теорию стихосложения и риторику. Интересна и судьба Гартмана, о которой в докладе мы расскажем отдельно.</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Гартман написал и составил на латыни в общей сложности более 70 крупных трудов по указанной проблематике, в их числе работы по римской и немецкой истории, истории княжества Гессен (1741 г.), жизнеописания понтификов, работы по ораторскому искусству. Указанные работы вносят вклад в развитие немецкой философской, исторической и языковедческой традиции, а также в формирование терминологического аппарата гуманитарных наук. С 1722 г. Гартман получает профессуру в Марбургском университете, где читает обширный и меняющийся каждый год курс лекций. В докладе будут представлены малоизвестные материалы, раскрывающие программу его курсов в университете г. Марбурга.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И. А. Гартман сейчас известен очень немногим современным историкам науки только благодаря тому, что среди слушателей его лекций в Марбурге были трое студентов, приехавших в 1737 г. из России — М. В. Ломоносов, Д. И. Виноградов и Г. У. Райзер. На самом деле во многих исследованиях, которые посвящены деятельности М. В. Ломоносова как историка и члена Исторического собрания Академии наук (М. И. Радовский, В. В. Фомин) упоминание о Гартмане, к сожалению, не представлено, хотя отметим, что устойчивый интерес Ломоносова к проблемам норманизма зародился именно в Германии. Практически ничего не известно о личности и биографии И. А. Гартмана.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Отдельное внимание в докладе будет уделено возможному влиянию лекций Гартмана на труды М. В. Ломоносова по риторике, рецепцию им античной и западноевропейской культурной традиции, формирование «круга чтения» Ломоносова.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Примечание: доклад по теме НИР «Европейское Просвещение и формирование языка гуманитарных наук в России (историко-культурный, источниковедческий и лингвистический аспекты)» (рук. проф. К. А. Филиппов).</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K</w:t>
      </w:r>
      <w:r>
        <w:rPr>
          <w:rFonts w:eastAsia="Times New Roman"/>
          <w:b/>
        </w:rPr>
        <w:t xml:space="preserve">. </w:t>
      </w:r>
      <w:r>
        <w:rPr>
          <w:rFonts w:eastAsia="Times New Roman"/>
          <w:b/>
          <w:lang w:val="en-US"/>
        </w:rPr>
        <w:t>V</w:t>
      </w:r>
      <w:r>
        <w:rPr>
          <w:rFonts w:eastAsia="Times New Roman"/>
          <w:b/>
        </w:rPr>
        <w:t xml:space="preserve">. </w:t>
      </w:r>
      <w:r>
        <w:rPr>
          <w:rFonts w:eastAsia="Times New Roman"/>
          <w:b/>
          <w:lang w:val="en-US"/>
        </w:rPr>
        <w:t>Manerova</w:t>
      </w:r>
      <w:r>
        <w:rPr>
          <w:rFonts w:eastAsia="Times New Roman"/>
          <w:b/>
        </w:rPr>
        <w:t xml:space="preserve">, </w:t>
      </w:r>
      <w:r>
        <w:rPr>
          <w:rFonts w:eastAsia="Times New Roman"/>
          <w:b/>
          <w:lang w:val="en-US"/>
        </w:rPr>
        <w:t>M</w:t>
      </w:r>
      <w:r>
        <w:rPr>
          <w:rFonts w:eastAsia="Times New Roman"/>
          <w:b/>
        </w:rPr>
        <w:t xml:space="preserve">. </w:t>
      </w:r>
      <w:r>
        <w:rPr>
          <w:rFonts w:eastAsia="Times New Roman"/>
          <w:b/>
          <w:lang w:val="en-US"/>
        </w:rPr>
        <w:t>V</w:t>
      </w:r>
      <w:r>
        <w:rPr>
          <w:rFonts w:eastAsia="Times New Roman"/>
          <w:b/>
        </w:rPr>
        <w:t xml:space="preserve">. </w:t>
      </w:r>
      <w:r>
        <w:rPr>
          <w:rFonts w:eastAsia="Times New Roman"/>
          <w:b/>
          <w:lang w:val="en-US"/>
        </w:rPr>
        <w:t>Koryshev</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About the history of European Enlightenment: The professor for the Rhetoric Johann A. Hartmann</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For the German Enlightenment period in the first half of the 18</w:t>
      </w:r>
      <w:r>
        <w:rPr>
          <w:rFonts w:eastAsia="Times New Roman"/>
          <w:vertAlign w:val="superscript"/>
          <w:lang w:val="en-US"/>
        </w:rPr>
        <w:t>th</w:t>
      </w:r>
      <w:r>
        <w:rPr>
          <w:rFonts w:eastAsia="Times New Roman"/>
          <w:lang w:val="en-US"/>
        </w:rPr>
        <w:t xml:space="preserve"> century, the concepts «Stil» (Style) and «Geschmack» (Taste) are the most enduring constants. So Germany increased interest in everything that is connected with the style: learning and teaching, the study of rhetoric, its history. One of the acknowledged German masters in elocution is professor at the University Marburg Johann A. Hartmann. He wrote more than 70 works about history, philosophy, theology and rhetoric.</w:t>
      </w:r>
      <w:r>
        <w:rPr>
          <w:rFonts w:eastAsia="Times New Roman" w:cs="Arial"/>
          <w:color w:val="333333"/>
          <w:lang w:val="en"/>
        </w:rPr>
        <w:t xml:space="preserve"> </w:t>
      </w:r>
      <w:r>
        <w:rPr>
          <w:rFonts w:eastAsia="Times New Roman"/>
          <w:lang w:val="en-US"/>
        </w:rPr>
        <w:t>These works contribute to the becoming of the historical and philological German tradition and to the formation of the language for the humanities. His doctrine in rhetoric might inspire the researches of the Russian scientist M. V. Lomonosov.</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s="Arial"/>
          <w:color w:val="333333"/>
          <w:lang w:val="e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Е. В. Маркасова, д-р филол. наук,</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Санкт-Петербургский государственный университет (Россия)</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И. А. Эгипти, канд. филол. наук,</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независимый исследователь (Россия)</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rPr>
      </w:pPr>
      <w:bookmarkStart w:id="0" w:name="sdfootnote1anc"/>
      <w:r>
        <w:rPr>
          <w:b/>
        </w:rPr>
        <w:t>Комментарий к «</w:t>
      </w:r>
      <w:r>
        <w:rPr>
          <w:b/>
          <w:lang w:val="en-US"/>
        </w:rPr>
        <w:t>modus prosodicus</w:t>
      </w:r>
      <w:r>
        <w:rPr>
          <w:b/>
        </w:rPr>
        <w:t>» М. К. Сарбевского</w:t>
      </w:r>
      <w:bookmarkEnd w:id="0"/>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Произведения М. К. Сарбевского оказали влияние на риторическую культуру </w:t>
      </w:r>
      <w:r>
        <w:rPr>
          <w:rFonts w:eastAsia="Times New Roman"/>
          <w:lang w:val="en-US"/>
        </w:rPr>
        <w:t>XVIII</w:t>
      </w:r>
      <w:r>
        <w:rPr>
          <w:rFonts w:eastAsia="Times New Roman"/>
        </w:rPr>
        <w:t xml:space="preserve"> в., о чем писали многие исследователи.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начале трактата «</w:t>
      </w:r>
      <w:r>
        <w:rPr>
          <w:rFonts w:eastAsia="Times New Roman"/>
          <w:lang w:val="en-US"/>
        </w:rPr>
        <w:t>De Acuto et Arguto</w:t>
      </w:r>
      <w:r>
        <w:rPr>
          <w:rFonts w:eastAsia="Times New Roman"/>
        </w:rPr>
        <w:t>», М. К. Сарбевский опровергает ложные представления об акумене: это не меткая метафора или аллегория, не некий софизм, а совокупность соответствия и несоответствия, сочетание противоречивого или несочетание сходного [Софронова,</w:t>
      </w:r>
      <w:r>
        <w:rPr>
          <w:rFonts w:eastAsia="Times New Roman"/>
          <w:i/>
          <w:lang w:val="en-US"/>
        </w:rPr>
        <w:t xml:space="preserve"> </w:t>
      </w:r>
      <w:r>
        <w:rPr>
          <w:rFonts w:eastAsia="Times New Roman"/>
        </w:rPr>
        <w:t>1986, с. 7—11]. «Острая мысль — это высказывание, содержащее в себе совокупность соответствия и несоответствия, сочетание противоречивого или не сочетание сходного в изречении». Удивление порождается незнанием причин несоответствия. Когда проясняется причина, читатель испытывает восхищение. Сарбевский пишет о том, что нет полного незнания или непонимания того, что является соответствием или несоответствием, поскольку одно может быть понято (узнано), «другое же по своей природе было задумано остаться тайной и впоследствии годилось бы для неузнавания» [Sarbiewski, 1958] .</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Среди способов создания остроумного текста в трактате М. К. Сарбевского упоминается способ «просодический», в котором «острота выводится из долготы</w:t>
      </w:r>
      <w:r>
        <w:rPr>
          <w:rFonts w:eastAsia="Times New Roman"/>
          <w:lang w:val="en-US"/>
        </w:rPr>
        <w:t xml:space="preserve"> </w:t>
      </w:r>
      <w:r>
        <w:rPr>
          <w:rFonts w:eastAsia="Times New Roman"/>
        </w:rPr>
        <w:t>/</w:t>
      </w:r>
      <w:r>
        <w:rPr>
          <w:rFonts w:eastAsia="Times New Roman"/>
          <w:lang w:val="en-US"/>
        </w:rPr>
        <w:t xml:space="preserve"> </w:t>
      </w:r>
      <w:r>
        <w:rPr>
          <w:rFonts w:eastAsia="Times New Roman"/>
        </w:rPr>
        <w:t>краткости слогов». М.</w:t>
      </w:r>
      <w:r>
        <w:rPr>
          <w:rFonts w:eastAsia="Times New Roman"/>
          <w:lang w:val="en-US"/>
        </w:rPr>
        <w:t xml:space="preserve"> </w:t>
      </w:r>
      <w:r>
        <w:rPr>
          <w:rFonts w:eastAsia="Times New Roman"/>
        </w:rPr>
        <w:t>К.</w:t>
      </w:r>
      <w:r>
        <w:rPr>
          <w:rFonts w:eastAsia="Times New Roman"/>
          <w:lang w:val="en-US"/>
        </w:rPr>
        <w:t xml:space="preserve"> </w:t>
      </w:r>
      <w:r>
        <w:rPr>
          <w:rFonts w:eastAsia="Times New Roman"/>
        </w:rPr>
        <w:t>Сарбевский приводит пример, основанный на долготе и краткости гласного:</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Я считаю, что неистовство влюбленного и безумного — одно и то же,</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но у одного оно краткое, а у другого — долгое.</w:t>
      </w:r>
      <w:r>
        <w:rPr>
          <w:rFonts w:eastAsia="Times New Roman"/>
        </w:rPr>
        <w:t xml:space="preserve"> (пер. И. Э.)</w:t>
      </w:r>
    </w:p>
    <w:p w:rsidR="00DD42A2" w:rsidRDefault="00DD42A2" w:rsidP="00DD42A2">
      <w:pPr>
        <w:pStyle w:val="Footnote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sz w:val="24"/>
          <w:szCs w:val="24"/>
        </w:rPr>
      </w:pPr>
      <w:r>
        <w:rPr>
          <w:rFonts w:eastAsia="Times New Roman"/>
          <w:sz w:val="24"/>
          <w:szCs w:val="24"/>
        </w:rPr>
        <w:t>В русских риториках этот пример впоследствии сокращается и деформируется: «елико аще кто любезнейший, толико безумнейший» [РНБ. Собр. Титова. № 1778. Л. 53 об.]. При переводе утрачивается идея соотнесенности долготы звуков</w:t>
      </w:r>
      <w:r>
        <w:rPr>
          <w:rFonts w:eastAsia="Times New Roman"/>
          <w:i/>
          <w:sz w:val="24"/>
          <w:szCs w:val="24"/>
        </w:rPr>
        <w:t xml:space="preserve"> </w:t>
      </w:r>
      <w:r>
        <w:rPr>
          <w:rFonts w:eastAsia="Times New Roman"/>
          <w:sz w:val="24"/>
          <w:szCs w:val="24"/>
        </w:rPr>
        <w:t>в словах</w:t>
      </w:r>
      <w:r>
        <w:rPr>
          <w:rFonts w:eastAsia="Times New Roman"/>
          <w:i/>
          <w:sz w:val="24"/>
          <w:szCs w:val="24"/>
        </w:rPr>
        <w:t xml:space="preserve"> amanti </w:t>
      </w:r>
      <w:r>
        <w:rPr>
          <w:rFonts w:eastAsia="Times New Roman"/>
          <w:sz w:val="24"/>
          <w:szCs w:val="24"/>
        </w:rPr>
        <w:t xml:space="preserve">и </w:t>
      </w:r>
      <w:r>
        <w:rPr>
          <w:rFonts w:eastAsia="Times New Roman"/>
          <w:i/>
          <w:sz w:val="24"/>
          <w:szCs w:val="24"/>
        </w:rPr>
        <w:t xml:space="preserve">amenti </w:t>
      </w:r>
      <w:r>
        <w:rPr>
          <w:rFonts w:eastAsia="Times New Roman"/>
          <w:sz w:val="24"/>
          <w:szCs w:val="24"/>
        </w:rPr>
        <w:t>с продолжительностью во времени состояний влюбленности и безумия, поэтому исходная идея упрощается до простого сопоставления двух состояний, лишается пуанта, суть которого в экстраполяции закономерностей, действующих в рамках одной сферы (фонетической), на другую сферу (человеческих состояний). (См. иную интерпретацию [</w:t>
      </w:r>
      <w:r>
        <w:rPr>
          <w:rFonts w:eastAsia="Times New Roman"/>
          <w:bCs/>
          <w:sz w:val="24"/>
          <w:szCs w:val="24"/>
        </w:rPr>
        <w:t>ПрыстаЎка, 2007].</w:t>
      </w:r>
    </w:p>
    <w:p w:rsidR="00DD42A2" w:rsidRDefault="00DD42A2" w:rsidP="00DD42A2">
      <w:pPr>
        <w:pStyle w:val="FootnoteTex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sz w:val="24"/>
          <w:szCs w:val="24"/>
        </w:rPr>
        <w:t>Эта деформация обусловлена распространенными представлениями об акумене, которые сам М. К. Сарбевский называет «ложными».</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i/>
          <w:iCs/>
        </w:rPr>
      </w:pPr>
      <w:r>
        <w:rPr>
          <w:i/>
          <w:iCs/>
        </w:rPr>
        <w:t>Литература</w:t>
      </w:r>
    </w:p>
    <w:p w:rsidR="00DD42A2" w:rsidRDefault="00DD42A2" w:rsidP="00DD42A2">
      <w:pPr>
        <w:widowControl w:val="0"/>
        <w:tabs>
          <w:tab w:val="left" w:pos="720"/>
        </w:tabs>
        <w:overflowPunct w:val="0"/>
        <w:autoSpaceDE w:val="0"/>
        <w:spacing w:line="360" w:lineRule="auto"/>
        <w:ind w:firstLine="709"/>
        <w:textAlignment w:val="baseline"/>
        <w:rPr>
          <w:rFonts w:eastAsia="Times New Roman"/>
          <w:lang w:val="en-US"/>
        </w:rPr>
      </w:pPr>
      <w:r>
        <w:rPr>
          <w:rFonts w:eastAsia="Times New Roman"/>
          <w:i/>
          <w:iCs/>
          <w:lang w:val="en-US"/>
        </w:rPr>
        <w:t xml:space="preserve">Софронова Л. А. </w:t>
      </w:r>
      <w:r>
        <w:rPr>
          <w:rFonts w:eastAsia="Times New Roman"/>
          <w:lang w:val="en-US"/>
        </w:rPr>
        <w:t>М. В. Ломоносов и М. К. Сарбевский: (к опыту сопоставления двух систем) // М. В. Ломоносов и русская культура: Тез. докл. конф., посвящ. 275</w:t>
      </w:r>
      <w:r>
        <w:rPr>
          <w:rFonts w:eastAsia="Times New Roman"/>
          <w:lang w:val="en-US"/>
        </w:rPr>
        <w:noBreakHyphen/>
        <w:t>летию М. В. Ломоносова. Тарту, 1986. С.7—11.</w:t>
      </w:r>
    </w:p>
    <w:p w:rsidR="00DD42A2" w:rsidRDefault="00DD42A2" w:rsidP="00DD42A2">
      <w:pPr>
        <w:widowControl w:val="0"/>
        <w:tabs>
          <w:tab w:val="left" w:pos="720"/>
        </w:tabs>
        <w:overflowPunct w:val="0"/>
        <w:autoSpaceDE w:val="0"/>
        <w:spacing w:line="360" w:lineRule="auto"/>
        <w:ind w:firstLine="709"/>
        <w:textAlignment w:val="baseline"/>
        <w:rPr>
          <w:rFonts w:eastAsia="Times New Roman"/>
        </w:rPr>
      </w:pPr>
      <w:r>
        <w:rPr>
          <w:rFonts w:eastAsia="Times New Roman"/>
          <w:i/>
          <w:iCs/>
          <w:lang w:val="en-US"/>
        </w:rPr>
        <w:t>Sarbiewski M. K.</w:t>
      </w:r>
      <w:r>
        <w:rPr>
          <w:rFonts w:eastAsia="Times New Roman"/>
          <w:lang w:val="en-US"/>
        </w:rPr>
        <w:t xml:space="preserve"> De acuto et arguto sive Seneca et Martialis… = O poincie i dowcipie jedna księga // Sarbiewski M. K. Wykłady poetyki. Wrocław; Kraków, 1958. (Polska Akad. nauk. Inst. Bad. literackich. Bibl. pisarź</w:t>
      </w:r>
      <w:r>
        <w:rPr>
          <w:rFonts w:eastAsia="Times New Roman"/>
        </w:rPr>
        <w:t>o</w:t>
      </w:r>
      <w:r>
        <w:rPr>
          <w:rFonts w:eastAsia="Times New Roman"/>
          <w:lang w:val="en-US"/>
        </w:rPr>
        <w:t>w polskich. Ser</w:t>
      </w:r>
      <w:r>
        <w:rPr>
          <w:rFonts w:eastAsia="Times New Roman"/>
        </w:rPr>
        <w:t>.</w:t>
      </w:r>
      <w:r>
        <w:rPr>
          <w:rFonts w:eastAsia="Times New Roman"/>
          <w:lang w:val="en-US"/>
        </w:rPr>
        <w:t xml:space="preserve"> B</w:t>
      </w:r>
      <w:r>
        <w:rPr>
          <w:rFonts w:eastAsia="Times New Roman"/>
        </w:rPr>
        <w:t>; №</w:t>
      </w:r>
      <w:r>
        <w:rPr>
          <w:rFonts w:eastAsia="Times New Roman"/>
          <w:lang w:val="en-US"/>
        </w:rPr>
        <w:t xml:space="preserve"> </w:t>
      </w:r>
      <w:r>
        <w:rPr>
          <w:rFonts w:eastAsia="Times New Roman"/>
        </w:rPr>
        <w:t>5).</w:t>
      </w:r>
    </w:p>
    <w:p w:rsidR="00DD42A2" w:rsidRDefault="00DD42A2" w:rsidP="00DD42A2">
      <w:pPr>
        <w:widowControl w:val="0"/>
        <w:tabs>
          <w:tab w:val="left" w:pos="720"/>
        </w:tabs>
        <w:overflowPunct w:val="0"/>
        <w:autoSpaceDE w:val="0"/>
        <w:spacing w:line="360" w:lineRule="auto"/>
        <w:ind w:firstLine="709"/>
        <w:textAlignment w:val="baseline"/>
        <w:rPr>
          <w:rFonts w:eastAsia="Times New Roman"/>
          <w:bCs/>
          <w:lang w:val="en-US"/>
        </w:rPr>
      </w:pPr>
      <w:r>
        <w:rPr>
          <w:rFonts w:eastAsia="Times New Roman"/>
          <w:bCs/>
          <w:i/>
          <w:iCs/>
        </w:rPr>
        <w:t>ПрыстаЎка Я. У.</w:t>
      </w:r>
      <w:r>
        <w:rPr>
          <w:rFonts w:eastAsia="Times New Roman"/>
          <w:bCs/>
        </w:rPr>
        <w:t xml:space="preserve"> МоЎныя сродки досципу Ў трактаце Мацея Казимера СарбеЎскага «</w:t>
      </w:r>
      <w:r>
        <w:rPr>
          <w:rFonts w:eastAsia="Times New Roman"/>
          <w:bCs/>
          <w:lang w:val="en-US"/>
        </w:rPr>
        <w:t>D</w:t>
      </w:r>
      <w:r>
        <w:rPr>
          <w:rFonts w:eastAsia="Times New Roman"/>
          <w:bCs/>
        </w:rPr>
        <w:t xml:space="preserve">е </w:t>
      </w:r>
      <w:r>
        <w:rPr>
          <w:rFonts w:eastAsia="Times New Roman"/>
          <w:bCs/>
          <w:lang w:val="en-US"/>
        </w:rPr>
        <w:t>Acuto et Arguto</w:t>
      </w:r>
      <w:r>
        <w:rPr>
          <w:rFonts w:eastAsia="Times New Roman"/>
          <w:bCs/>
        </w:rPr>
        <w:t>» ('АБ ВАСТРЫНІ I ДОСЦІПЕ'</w:t>
      </w:r>
      <w:r>
        <w:rPr>
          <w:rFonts w:eastAsia="Times New Roman"/>
          <w:b/>
          <w:bCs/>
        </w:rPr>
        <w:t xml:space="preserve">) </w:t>
      </w:r>
      <w:r>
        <w:rPr>
          <w:rFonts w:eastAsia="Times New Roman"/>
          <w:bCs/>
        </w:rPr>
        <w:t>(1619/1623) // Мовазнаўства: Весник БДУ. Сер. 4. 2007. №1</w:t>
      </w:r>
      <w:r>
        <w:rPr>
          <w:rFonts w:eastAsia="Times New Roman"/>
          <w:bCs/>
          <w:lang w:val="en-US"/>
        </w:rPr>
        <w:t>.</w:t>
      </w:r>
    </w:p>
    <w:p w:rsidR="00DD42A2" w:rsidRDefault="00DD42A2" w:rsidP="00DD42A2">
      <w:pPr>
        <w:widowControl w:val="0"/>
        <w:tabs>
          <w:tab w:val="left" w:pos="720"/>
        </w:tabs>
        <w:overflowPunct w:val="0"/>
        <w:autoSpaceDE w:val="0"/>
        <w:spacing w:line="360" w:lineRule="auto"/>
        <w:ind w:firstLine="709"/>
        <w:textAlignment w:val="baseline"/>
        <w:rPr>
          <w:rFonts w:eastAsia="Times New Roman"/>
        </w:rPr>
      </w:pP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rPr>
        <w:t>Е</w:t>
      </w:r>
      <w:r>
        <w:rPr>
          <w:b/>
          <w:bCs/>
          <w:lang w:val="en-US"/>
        </w:rPr>
        <w:t>. V. Markasova, I. A. Egipti</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lang w:val="en-US"/>
        </w:rPr>
      </w:pPr>
      <w:bookmarkStart w:id="1" w:name="sdfootnote1sym"/>
      <w:r>
        <w:rPr>
          <w:b/>
          <w:bCs/>
          <w:lang w:val="en-US"/>
        </w:rPr>
        <w:t xml:space="preserve">The Comment to Sarbevsky’s </w:t>
      </w:r>
      <w:r>
        <w:rPr>
          <w:b/>
          <w:lang w:val="en-US"/>
        </w:rPr>
        <w:t>«modus prosodicus»</w:t>
      </w:r>
    </w:p>
    <w:p w:rsidR="00DD42A2" w:rsidRDefault="00DD42A2" w:rsidP="00DD42A2">
      <w:pPr>
        <w:pStyle w:val="a0"/>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r>
        <w:rPr>
          <w:lang w:val="en-US"/>
        </w:rPr>
        <w:t xml:space="preserve">The paper deals with the analysis of a poetic example from the text written by M. K. Sarbevsky. The correlation between sound duration in the words </w:t>
      </w:r>
      <w:r>
        <w:rPr>
          <w:i/>
          <w:lang w:val="en-US"/>
        </w:rPr>
        <w:t>amanti</w:t>
      </w:r>
      <w:r>
        <w:rPr>
          <w:lang w:val="en-US"/>
        </w:rPr>
        <w:t xml:space="preserve"> and </w:t>
      </w:r>
      <w:r>
        <w:rPr>
          <w:i/>
          <w:lang w:val="en-US"/>
        </w:rPr>
        <w:t>amenti</w:t>
      </w:r>
      <w:r>
        <w:rPr>
          <w:lang w:val="en-US"/>
        </w:rPr>
        <w:t xml:space="preserve"> and human state duration (love and madness) is lost in Russian. The idea is reduced to comparison of two human states. So the </w:t>
      </w:r>
      <w:r>
        <w:rPr>
          <w:i/>
          <w:lang w:val="en-US"/>
        </w:rPr>
        <w:t>acumen</w:t>
      </w:r>
      <w:r>
        <w:rPr>
          <w:lang w:val="en-US"/>
        </w:rPr>
        <w:t>, whose essence consisted in the extrapolation of the regularities operating within the phonetics on the other sphere (human emotions), has disappeared</w:t>
      </w:r>
      <w:bookmarkEnd w:id="1"/>
      <w:r>
        <w:rPr>
          <w:lang w:val="en-US"/>
        </w:rPr>
        <w:t>.</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С. </w:t>
      </w:r>
      <w:r>
        <w:rPr>
          <w:rFonts w:eastAsia="Times New Roman"/>
          <w:b/>
          <w:bCs/>
          <w:lang w:val="en-US"/>
        </w:rPr>
        <w:t>A</w:t>
      </w:r>
      <w:r>
        <w:rPr>
          <w:rFonts w:eastAsia="Times New Roman"/>
          <w:b/>
          <w:bCs/>
        </w:rPr>
        <w:t>. Салова, д-р филол. наук,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Башкирский государственный</w:t>
      </w:r>
      <w:r>
        <w:rPr>
          <w:rFonts w:eastAsia="Times New Roman"/>
          <w:b/>
          <w:bCs/>
          <w:lang w:val="en-US"/>
        </w:rPr>
        <w:t xml:space="preserve"> </w:t>
      </w:r>
      <w:r>
        <w:rPr>
          <w:rFonts w:eastAsia="Times New Roman"/>
          <w:b/>
          <w:bCs/>
        </w:rPr>
        <w:t>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Анакреонтические притчи А. П. Сумарокова и их полемический подтекст</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Претензия А. П. Сумарокова на лирическое амплуа «русского Анакреонта» сопрягалась для него с необходимостью опротестовать скептицизм М. В. Ломоносова относительно нравоучительного потенциала анакреонтики. Весомым аргументом в скрытой полемике с создателем «Риторики» стала жанровая перекодировка анакреонтических фабул в нескольких стихотворениях из первых двух книг «Притчей» Сумарокова 1762 г. Выразительна в этом плане экспериментальная по структуре притча «Сторож богатства своего» (</w:t>
      </w:r>
      <w:r>
        <w:rPr>
          <w:rFonts w:eastAsia="Times New Roman"/>
          <w:lang w:val="en-US"/>
        </w:rPr>
        <w:t>I</w:t>
      </w:r>
      <w:r>
        <w:rPr>
          <w:rFonts w:eastAsia="Times New Roman"/>
        </w:rPr>
        <w:t xml:space="preserve">, </w:t>
      </w:r>
      <w:r>
        <w:rPr>
          <w:rFonts w:eastAsia="Times New Roman"/>
          <w:lang w:val="en-US"/>
        </w:rPr>
        <w:t>L</w:t>
      </w:r>
      <w:r>
        <w:rPr>
          <w:rFonts w:eastAsia="Times New Roman"/>
        </w:rPr>
        <w:t>), построенная на контаминации разнородных по происхождению мотивов. Источниками для нее послужили анакреонтическая ода о невозможности откупиться от Смерти, притча Федра о лисе, обнаружившей охраняемый драконом клад, и комедия Ж. Б. Мольера «Скупой». В притчевой перекодировке анакреонтической фабулы Сумароков педалировал мотив равенства всех перед смертью, фактически сведя «на нет» гедонистический пафос первоисточника. Знаковый смысл обрела при этом ссылка на мнение Анакреонта как авторитетный дидактический источник: «Сказал певец Анакреон, // Что тщетно тот богатство собирает, // Который так равно, как бедный умирает», — поддержанный параллелями из притчи Федра и упоминанием мольеровского Гарпагона.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Наиболее репрезентативной в аспекте полемики с Ломоносовым о морализаторской ценности анакреонтической басни является притча «Молодой Сатир» (II, XVIII). Она представляет собой вольную обработку той самой анакреонтеи, переложением которой создатель «Риторики» проиллюстрировал свои рассуждения о жанре «басни», якобы не имеющей нравственно-эстетической ценности. Для характеристики полемической позиции Сумарокова значим факт парафрастической обработки указанной анакреонтеи в двух параллельных вариантах — в жанрах анакреонтической оды и притчи. Весьма существенной представляется при этом сумароковская интенция с помощью «метереологической» лексики прозрачно русифицировать сюжеты обоих разножанровых стихотворений, восходящих к одному фабульному инварианту. В отличие от Ломоносова, почти буквально следовавшего за первоисточником в экспозиционном воспроизведении временных (ночь) и погодных (дождь) условий действия, автор оды «Во мразныя минуты…» и притчи «Молодой Сатир» придал им сочный национальный колорит, поместив своих персонажей в обстановку морозной и студеной зимы. Причем словесный мотив мороза не только семантизирован в притче в детальных подробностях, но визуально «натурализован» в пульсирующих, сбивчивых перепадах ее ритмического рисунка: «Дрожит, // Бежит, // И как безумной рыщет, // Согреться места ищет, // Найти себе наслег, // И к шалашу прибег». В финале стихотворения Сумароков не ограничился намеком на неблагодарность незваного гостя, но облек в афористическую форму мысль о противоречивости человеческой натуры: «… страшны те уста, в которых жар и холод». Своей игровой парафразой традиционной фабулы о неблагодарном проказнике Эроте Сумароков придал притче отчетливый нравоучительный пафос и наделил ее тонким нравственно-философским смыслом, предвосхитившим художественные открытия сентименталистов.</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S. A. Salova</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Anacreontic parabels by A. P. Sumarokov and their polemical subtext</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subject of the paper is one epizode of the hidden polemics of A. P. Sumarokov with M. V. Lomonosov about the moralizing value of the genre of the anacreontic ode. The system of methods used by Sumarokov for the russification of the traditional fabel (or the motive) and for the parallel transformation of the same fable into the anacreontic ode and into the anacreontic parable is described. Sumarokov’s artistic experiments in the poems from his book «Pritchy» (1762) proved the high didactic status of the anacreontic poetry.</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К. Ю. Тверьянович, канд. филол. наук,</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Части речи в 4-стопном ямбе русских поэтов второй половины </w:t>
      </w:r>
      <w:r>
        <w:rPr>
          <w:rFonts w:eastAsia="Times New Roman"/>
          <w:b/>
          <w:lang w:val="en-US"/>
        </w:rPr>
        <w:t>XVIII</w:t>
      </w:r>
      <w:r>
        <w:rPr>
          <w:rFonts w:eastAsia="Times New Roman"/>
          <w:b/>
        </w:rPr>
        <w:t xml:space="preserve"> в.</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Проблема соотношения ритма и словесного наполнения стихотворной строки была впервые поставлена в отечественной науке в 1920-е гг. Б. В. Томашевский в работе о пушкинском 5-ст. ямбе выявил некоторые закономерности расположения в нем слов разной акцентно-слоговой структуры [Томашевский, 1923]. С. Бобров [Бобров, 1922] и затем О. Брик [Брик, 1927] указали на существование в русской поэзии устойчивых ритмико-грамматических стереотипов. После долгого перерыва, в конце ХХ</w:t>
      </w:r>
      <w:r>
        <w:rPr>
          <w:rFonts w:eastAsia="Times New Roman"/>
          <w:lang w:val="en-US"/>
        </w:rPr>
        <w:t xml:space="preserve"> </w:t>
      </w:r>
      <w:r>
        <w:rPr>
          <w:rFonts w:eastAsia="Times New Roman"/>
        </w:rPr>
        <w:t>в. стиховеды вновь обратились к этой проблеме. М. Л. Гаспаров и Т. В. Скулачева установили связь между распределением в стихотворной строке слов разных грамматических характеристик и разной акцентно-слоговой структуры. Составив «ритмический словарь частей речи», на материале «Евгения Онегина» они описали некоторые закономерности ритмико-синтаксической организации русского 4-ст. ямба [Гаспаров, Скулачева, 2004]. Эти закономерности исследователи объяснили объективными особенностями русских частей речи.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Однако, как показали наши подсчеты, сделанные на материале поэзии начала ХХ в., закономерности, выделенные Гаспаровым и Скулачевой, не являются универсальными. В экспериментальную эпоху поэты порой оказывают предпочтение редким ритмико-грамматическим конструкциям, тем самым отказываясь от «формульного стиля» [Гаспаров, Скулачева, 2004, с. 224].</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предлагаемом докладе проблема соотношения ритма и грамматики в 4-ст. ямбе рассматривается на материале произведений еще одной экспериментальной эпохи в истории русского стиха — </w:t>
      </w:r>
      <w:r>
        <w:rPr>
          <w:rFonts w:eastAsia="Times New Roman"/>
          <w:lang w:val="en-US"/>
        </w:rPr>
        <w:t>XVIII</w:t>
      </w:r>
      <w:r>
        <w:rPr>
          <w:rFonts w:eastAsia="Times New Roman"/>
        </w:rPr>
        <w:t xml:space="preserve"> столетия. При описании частеречного состава стихотворных строк используется методика Гаспарова и Скулачевой, что обеспечивает сопоставимость результатов и позволяет не только описать некоторые грамматические особенности учтенного материала, но и сделать ряд предварительных выводов о характере исторических изменений в распределении частей речи в строках разных ритмических форм.</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Бобров С. </w:t>
      </w:r>
      <w:r>
        <w:rPr>
          <w:rFonts w:eastAsia="Times New Roman"/>
        </w:rPr>
        <w:t>Заимствования и влияния: попытка методологизации вопроса // Печать и революция, 1922, № 8. С. 72—92.</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Брик О. </w:t>
      </w:r>
      <w:r>
        <w:rPr>
          <w:rFonts w:eastAsia="Times New Roman"/>
        </w:rPr>
        <w:t>Ритм и синтаксис: (Материалы к изучению стихотворной речи) // Новый Леф, 1927, № 3—6.</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Гаспаров М. Л., Скулачева Т. В.</w:t>
      </w:r>
      <w:r>
        <w:rPr>
          <w:rFonts w:eastAsia="Times New Roman"/>
        </w:rPr>
        <w:t xml:space="preserve"> Статьи о лингвистике стиха. М., 2004.</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 xml:space="preserve">Томашевский Б. В. </w:t>
      </w:r>
      <w:r>
        <w:rPr>
          <w:rFonts w:eastAsia="Times New Roman"/>
        </w:rPr>
        <w:t>Пятистопный ямб Пушкина // Очерки по поэтике Пушкина. Берлин</w:t>
      </w:r>
      <w:r>
        <w:rPr>
          <w:rFonts w:eastAsia="Times New Roman"/>
          <w:lang w:val="en-US"/>
        </w:rPr>
        <w:t xml:space="preserve">, 1923. </w:t>
      </w:r>
      <w:r>
        <w:rPr>
          <w:rFonts w:eastAsia="Times New Roman"/>
        </w:rPr>
        <w:t>С</w:t>
      </w:r>
      <w:r>
        <w:rPr>
          <w:rFonts w:eastAsia="Times New Roman"/>
          <w:lang w:val="en-US"/>
        </w:rPr>
        <w:t>. 7—143.</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K. Yu. Tverianovich</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Parts of Speech in Iambic Tetrameter of 18th Century Russian Poets</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problem of rhythm and grammar is considered on the material of 18</w:t>
      </w:r>
      <w:r>
        <w:rPr>
          <w:rFonts w:eastAsia="Times New Roman"/>
          <w:vertAlign w:val="superscript"/>
          <w:lang w:val="en-US"/>
        </w:rPr>
        <w:t>th</w:t>
      </w:r>
      <w:r>
        <w:rPr>
          <w:rFonts w:eastAsia="Times New Roman"/>
          <w:lang w:val="en-US"/>
        </w:rPr>
        <w:t xml:space="preserve"> century Russian poetry. The grammatical structure of verse forms is described using the method introduced by M. L. Gasparov and T. V. Skulacheva, making it possible to compare results and come up with some preliminary conclusions on historical changes in the grammar of Russian 18—20</w:t>
      </w:r>
      <w:r>
        <w:rPr>
          <w:rFonts w:eastAsia="Times New Roman"/>
          <w:vertAlign w:val="superscript"/>
          <w:lang w:val="en-US"/>
        </w:rPr>
        <w:t>th</w:t>
      </w:r>
      <w:r>
        <w:rPr>
          <w:rFonts w:eastAsia="Times New Roman"/>
          <w:lang w:val="en-US"/>
        </w:rPr>
        <w:t xml:space="preserve"> century iambic tetrameter.</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А. Ю. Тираспольская, канд. филол. наук, </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Исповедь «грешного» героя в «Наставлении дяди своему племяннику» Д.</w:t>
      </w:r>
      <w:r>
        <w:rPr>
          <w:rFonts w:eastAsia="Times New Roman"/>
          <w:b/>
          <w:bCs/>
          <w:lang w:val="en-US"/>
        </w:rPr>
        <w:t xml:space="preserve"> </w:t>
      </w:r>
      <w:r>
        <w:rPr>
          <w:rFonts w:eastAsia="Times New Roman"/>
          <w:b/>
          <w:bCs/>
        </w:rPr>
        <w:t>И.</w:t>
      </w:r>
      <w:r>
        <w:rPr>
          <w:rFonts w:eastAsia="Times New Roman"/>
          <w:b/>
          <w:bCs/>
          <w:lang w:val="en-US"/>
        </w:rPr>
        <w:t xml:space="preserve"> </w:t>
      </w:r>
      <w:r>
        <w:rPr>
          <w:rFonts w:eastAsia="Times New Roman"/>
          <w:b/>
          <w:bCs/>
        </w:rPr>
        <w:t>Фонвизина и в «Моей исповеди» Н.</w:t>
      </w:r>
      <w:r>
        <w:rPr>
          <w:rFonts w:eastAsia="Times New Roman"/>
          <w:b/>
          <w:bCs/>
          <w:lang w:val="en-US"/>
        </w:rPr>
        <w:t xml:space="preserve"> </w:t>
      </w:r>
      <w:r>
        <w:rPr>
          <w:rFonts w:eastAsia="Times New Roman"/>
          <w:b/>
          <w:bCs/>
        </w:rPr>
        <w:t>М.</w:t>
      </w:r>
      <w:r>
        <w:rPr>
          <w:rFonts w:eastAsia="Times New Roman"/>
          <w:b/>
          <w:bCs/>
          <w:lang w:val="en-US"/>
        </w:rPr>
        <w:t xml:space="preserve"> </w:t>
      </w:r>
      <w:r>
        <w:rPr>
          <w:rFonts w:eastAsia="Times New Roman"/>
          <w:b/>
          <w:bCs/>
        </w:rPr>
        <w:t>Карамзина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rPr>
        <w:t>Произведение Д.</w:t>
      </w:r>
      <w:r>
        <w:rPr>
          <w:rFonts w:eastAsia="Times New Roman"/>
          <w:lang w:val="en-US"/>
        </w:rPr>
        <w:t xml:space="preserve"> </w:t>
      </w:r>
      <w:r>
        <w:rPr>
          <w:rFonts w:eastAsia="Times New Roman"/>
        </w:rPr>
        <w:t>И.</w:t>
      </w:r>
      <w:r>
        <w:rPr>
          <w:rFonts w:eastAsia="Times New Roman"/>
          <w:lang w:val="en-US"/>
        </w:rPr>
        <w:t xml:space="preserve"> </w:t>
      </w:r>
      <w:r>
        <w:rPr>
          <w:rFonts w:eastAsia="Times New Roman"/>
        </w:rPr>
        <w:t>Фонвизина «</w:t>
      </w:r>
      <w:r>
        <w:rPr>
          <w:rFonts w:eastAsia="Times New Roman"/>
          <w:bCs/>
        </w:rPr>
        <w:t>Наставление дяди своему племяннику</w:t>
      </w:r>
      <w:r>
        <w:rPr>
          <w:rFonts w:eastAsia="Times New Roman"/>
        </w:rPr>
        <w:t xml:space="preserve">» (1788) </w:t>
      </w:r>
      <w:r>
        <w:rPr>
          <w:rFonts w:eastAsia="Times New Roman"/>
          <w:bCs/>
        </w:rPr>
        <w:t>[Фонвизин, 1971]</w:t>
      </w:r>
      <w:r>
        <w:rPr>
          <w:rFonts w:eastAsia="Times New Roman"/>
        </w:rPr>
        <w:t xml:space="preserve"> и повесть Н.</w:t>
      </w:r>
      <w:r>
        <w:rPr>
          <w:rFonts w:eastAsia="Times New Roman"/>
          <w:lang w:val="en-US"/>
        </w:rPr>
        <w:t xml:space="preserve"> </w:t>
      </w:r>
      <w:r>
        <w:rPr>
          <w:rFonts w:eastAsia="Times New Roman"/>
        </w:rPr>
        <w:t>М.</w:t>
      </w:r>
      <w:r>
        <w:rPr>
          <w:rFonts w:eastAsia="Times New Roman"/>
          <w:lang w:val="en-US"/>
        </w:rPr>
        <w:t xml:space="preserve"> </w:t>
      </w:r>
      <w:r>
        <w:rPr>
          <w:rFonts w:eastAsia="Times New Roman"/>
        </w:rPr>
        <w:t>Карамзина «</w:t>
      </w:r>
      <w:r>
        <w:rPr>
          <w:rFonts w:eastAsia="Times New Roman"/>
          <w:bCs/>
        </w:rPr>
        <w:t>Моя исповедь» (1802) [Карамзин, 1986] разделяют почти 15 лет интенсивного развития русской литературы, но тем интереснее кажется сопоставление двух подводящих итог своей жизни героев, созданных писателями.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В первую очередь следует отметить принципиальную разнонаправленность намерений героев Фонвизина и Карамзина: если повествование «дяди» действительно является исповедью, анализом допущенных в течение жизни ошибок и заблуждений, а также наставлением, то изложение собственной биографии графом</w:t>
      </w:r>
      <w:r>
        <w:rPr>
          <w:rFonts w:eastAsia="Times New Roman"/>
          <w:lang w:val="en-US"/>
        </w:rPr>
        <w:t xml:space="preserve"> </w:t>
      </w:r>
      <w:r>
        <w:rPr>
          <w:rFonts w:eastAsia="Times New Roman"/>
          <w:bCs/>
          <w:lang w:val="en-US"/>
        </w:rPr>
        <w:t xml:space="preserve">NN </w:t>
      </w:r>
      <w:r>
        <w:rPr>
          <w:rFonts w:eastAsia="Times New Roman"/>
          <w:bCs/>
        </w:rPr>
        <w:t>носит «антиисповедальный», местами откровенно эпатажный характер, не является результатом искреннего раскаяния (граф сам не раз заявляет о своей «природной» аморальности), а проистекает из потребности героя выставить себя на всеобщее обозрение.</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Вторым важным моментом является способность или же, напротив, неспособность героя переходить от нравственного поведения к аморальному. И если «дядя» у Фонвизина, будучи на заре жизни (по завету отца) «чистосердечным, благотворительным и трудолюбивым», затем, заглушив на многие годы голос совести, перешел на темную сторону силы и власти под давлением жизненных обстоятельств, а после, на склоне лет, раскаялся от всего сердца в этой «измене» добродетели, то граф</w:t>
      </w:r>
      <w:r>
        <w:rPr>
          <w:rFonts w:eastAsia="Times New Roman"/>
        </w:rPr>
        <w:t xml:space="preserve"> из «</w:t>
      </w:r>
      <w:r>
        <w:rPr>
          <w:rFonts w:eastAsia="Times New Roman"/>
          <w:bCs/>
        </w:rPr>
        <w:t>Моей исповеди» на протяжении всего своего жизненного пути остается вне рамок какой бы то ни было морали.</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Интересным также представляется сопоставление причин ситуации фиаско, в которой внезапно оказываются герои Фонвизина и Карамзина. Показательно, что дядя из «Наставления…» оказался полностью разоренным именно из-за своей благотворительности и человеколюбия: ревностное стремление помочь нуждающимся и неимущим довело его самого до долгов. Карамзинского же графа в долговую яму привели полная беспечность и бездумная расточительность на собственные удовольствия (балы, обеды и ужины, домашний театр и т. д.). И если герою «Моей исповеди» в принципе чуждо всякое стремление к правде, то приверженность дяди к чистосердечию и правдолюбию стали второй причиной крушения его жизни, ибо своим поведением он нажил себе большое количество врагов среди сильных мира сего.</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rPr>
      </w:pPr>
      <w:r>
        <w:rPr>
          <w:rFonts w:eastAsia="Times New Roman"/>
          <w:bCs/>
        </w:rPr>
        <w:t>Наконец, особого внимания заслуживают жизненные позиции героев, а также их «взаимоотношения» с избранными кредо. И дядя, и граф, несмотря на присутствие у первого совести и принципов и полное отсутствие таковых у второго, тем не менее, в один голос говорят о наличии у них «системы», жизненной философии, коей они неукоснительно следуют. Однако герой Фонвизина в обеих ситуациях, т. е. и идя сперва стезей правды и добродетели, и свернув затем на тропу приспособленчества и порока, в буквальном смысле слова является «заложником», «рабом» своего пути: избрав определенные жизненные принципы, он считает себя обязанным безропотно принимать и все отрицательные, «неудобные» для него стороны такого выбора. Графа, напротив, следует признать «всевластным господином» собственной «системы», ибо единственным мерилом и движущей силой всех его поступков является эгоизм.</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Карамзин</w:t>
      </w:r>
      <w:r>
        <w:rPr>
          <w:rFonts w:eastAsia="Times New Roman"/>
          <w:i/>
          <w:iCs/>
          <w:lang w:val="en-US"/>
        </w:rPr>
        <w:t xml:space="preserve"> </w:t>
      </w:r>
      <w:r>
        <w:rPr>
          <w:rFonts w:eastAsia="Times New Roman"/>
          <w:i/>
          <w:iCs/>
        </w:rPr>
        <w:t>Н.</w:t>
      </w:r>
      <w:r>
        <w:rPr>
          <w:rFonts w:eastAsia="Times New Roman"/>
          <w:i/>
          <w:iCs/>
          <w:lang w:val="en-US"/>
        </w:rPr>
        <w:t xml:space="preserve"> </w:t>
      </w:r>
      <w:r>
        <w:rPr>
          <w:rFonts w:eastAsia="Times New Roman"/>
          <w:i/>
          <w:iCs/>
        </w:rPr>
        <w:t xml:space="preserve">М. </w:t>
      </w:r>
      <w:r>
        <w:rPr>
          <w:rFonts w:eastAsia="Times New Roman"/>
        </w:rPr>
        <w:t>Записки старого московского жителя: Избранная проза. М., 1986.</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Фонвизин</w:t>
      </w:r>
      <w:r>
        <w:rPr>
          <w:rFonts w:eastAsia="Times New Roman"/>
          <w:i/>
          <w:iCs/>
          <w:lang w:val="en-US"/>
        </w:rPr>
        <w:t xml:space="preserve"> </w:t>
      </w:r>
      <w:r>
        <w:rPr>
          <w:rFonts w:eastAsia="Times New Roman"/>
          <w:i/>
          <w:iCs/>
        </w:rPr>
        <w:t>Д.</w:t>
      </w:r>
      <w:r>
        <w:rPr>
          <w:rFonts w:eastAsia="Times New Roman"/>
          <w:i/>
          <w:iCs/>
          <w:lang w:val="en-US"/>
        </w:rPr>
        <w:t xml:space="preserve"> </w:t>
      </w:r>
      <w:r>
        <w:rPr>
          <w:rFonts w:eastAsia="Times New Roman"/>
          <w:i/>
          <w:iCs/>
        </w:rPr>
        <w:t>И.</w:t>
      </w:r>
      <w:r>
        <w:rPr>
          <w:rFonts w:eastAsia="Times New Roman"/>
        </w:rPr>
        <w:t xml:space="preserve"> </w:t>
      </w:r>
      <w:r>
        <w:rPr>
          <w:rFonts w:eastAsia="Times New Roman"/>
          <w:bCs/>
        </w:rPr>
        <w:t xml:space="preserve">Наставление дяди своему племяннику // Русская проза </w:t>
      </w:r>
      <w:r>
        <w:rPr>
          <w:rFonts w:eastAsia="Times New Roman"/>
          <w:bCs/>
          <w:lang w:val="en-US"/>
        </w:rPr>
        <w:t>XVIII</w:t>
      </w:r>
      <w:r>
        <w:rPr>
          <w:rFonts w:eastAsia="Times New Roman"/>
          <w:bCs/>
        </w:rPr>
        <w:t xml:space="preserve"> века. </w:t>
      </w:r>
      <w:r>
        <w:rPr>
          <w:rFonts w:eastAsia="Times New Roman"/>
          <w:bCs/>
          <w:lang w:val="en-US"/>
        </w:rPr>
        <w:t>[</w:t>
      </w:r>
      <w:r>
        <w:rPr>
          <w:rFonts w:eastAsia="Times New Roman"/>
          <w:bCs/>
        </w:rPr>
        <w:t>Библиотека</w:t>
      </w:r>
      <w:r>
        <w:rPr>
          <w:rFonts w:eastAsia="Times New Roman"/>
          <w:bCs/>
          <w:lang w:val="en-US"/>
        </w:rPr>
        <w:t xml:space="preserve"> </w:t>
      </w:r>
      <w:r>
        <w:rPr>
          <w:rFonts w:eastAsia="Times New Roman"/>
          <w:bCs/>
        </w:rPr>
        <w:t>всемирной</w:t>
      </w:r>
      <w:r>
        <w:rPr>
          <w:rFonts w:eastAsia="Times New Roman"/>
          <w:bCs/>
          <w:lang w:val="en-US"/>
        </w:rPr>
        <w:t xml:space="preserve"> </w:t>
      </w:r>
      <w:r>
        <w:rPr>
          <w:rFonts w:eastAsia="Times New Roman"/>
          <w:bCs/>
        </w:rPr>
        <w:t>литературы</w:t>
      </w:r>
      <w:r>
        <w:rPr>
          <w:rFonts w:eastAsia="Times New Roman"/>
          <w:bCs/>
          <w:lang w:val="en-US"/>
        </w:rPr>
        <w:t xml:space="preserve">]. </w:t>
      </w:r>
      <w:r>
        <w:rPr>
          <w:rFonts w:eastAsia="Times New Roman"/>
        </w:rPr>
        <w:t>М</w:t>
      </w:r>
      <w:r>
        <w:rPr>
          <w:rFonts w:eastAsia="Times New Roman"/>
          <w:lang w:val="en-US"/>
        </w:rPr>
        <w:t>., 1971.</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Ju. Tiraspolskaja</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confession of «sinful» character in «Uncle’s Admonition to his Nephew» by D. I. Fonvizin and in «My Confession» by N. M. Karamzin</w:t>
      </w: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DD42A2" w:rsidRDefault="00DD42A2" w:rsidP="00DD42A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article is devoted to the comparison of two characters, the «Uncle» by D. I. Fonvizin and the Count </w:t>
      </w:r>
      <w:r>
        <w:rPr>
          <w:rFonts w:eastAsia="Times New Roman"/>
          <w:bCs/>
          <w:lang w:val="en-US"/>
        </w:rPr>
        <w:t xml:space="preserve">NN </w:t>
      </w:r>
      <w:r>
        <w:rPr>
          <w:rFonts w:eastAsia="Times New Roman"/>
          <w:lang w:val="en-US"/>
        </w:rPr>
        <w:t>by N. M. Karamzin, in the situation of confession: their points of view in the nature of confession, relationship between them and their «philosophy», the peculiarities of behaviour in the situation of fiasco or triumph and so on.</w:t>
      </w:r>
    </w:p>
    <w:p w:rsidR="00A67D5E" w:rsidRDefault="00A67D5E">
      <w:bookmarkStart w:id="2" w:name="_GoBack"/>
      <w:bookmarkEnd w:id="2"/>
    </w:p>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A2" w:rsidRDefault="00DD42A2" w:rsidP="00DD42A2">
      <w:r>
        <w:separator/>
      </w:r>
    </w:p>
  </w:endnote>
  <w:endnote w:type="continuationSeparator" w:id="0">
    <w:p w:rsidR="00DD42A2" w:rsidRDefault="00DD42A2" w:rsidP="00DD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A2" w:rsidRDefault="00DD42A2" w:rsidP="00DD42A2">
      <w:r>
        <w:separator/>
      </w:r>
    </w:p>
  </w:footnote>
  <w:footnote w:type="continuationSeparator" w:id="0">
    <w:p w:rsidR="00DD42A2" w:rsidRDefault="00DD42A2" w:rsidP="00DD42A2">
      <w:r>
        <w:continuationSeparator/>
      </w:r>
    </w:p>
  </w:footnote>
  <w:footnote w:id="1">
    <w:p w:rsidR="00DD42A2" w:rsidRDefault="00DD42A2" w:rsidP="00DD42A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
        </w:rPr>
        <w:footnoteRef/>
      </w:r>
      <w:r>
        <w:tab/>
        <w:t xml:space="preserve"> Тезисы доклада основаны на материалах исследований, проведенных в рамках гранта МК-3364.2012.6 «Риторические основы поэтического языка М. В. Ломоносова», рук. Е. М. Матвеев.</w:t>
      </w:r>
    </w:p>
  </w:footnote>
  <w:footnote w:id="2">
    <w:p w:rsidR="00DD42A2" w:rsidRDefault="00DD42A2" w:rsidP="00DD42A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Далее цитаты приводятся по тому же изданию с указанием страниц в круглых скобках.</w:t>
      </w:r>
    </w:p>
  </w:footnote>
  <w:footnote w:id="3">
    <w:p w:rsidR="00DD42A2" w:rsidRDefault="00DD42A2" w:rsidP="00DD42A2">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Ссылки на статьи из словаря оформляются сокращенно: первая цифра обозначает том, вторая – страницу или столбец.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2A2"/>
    <w:rsid w:val="006B323F"/>
    <w:rsid w:val="00A67D5E"/>
    <w:rsid w:val="00DD42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A2"/>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D42A2"/>
    <w:rPr>
      <w:rFonts w:cs="Times New Roman"/>
    </w:rPr>
  </w:style>
  <w:style w:type="character" w:customStyle="1" w:styleId="a">
    <w:name w:val="Символ сноски"/>
    <w:basedOn w:val="DefaultParagraphFont"/>
    <w:rsid w:val="00DD42A2"/>
    <w:rPr>
      <w:vertAlign w:val="superscript"/>
    </w:rPr>
  </w:style>
  <w:style w:type="character" w:customStyle="1" w:styleId="hpsatn">
    <w:name w:val="hps atn"/>
    <w:basedOn w:val="DefaultParagraphFont"/>
    <w:rsid w:val="00DD42A2"/>
  </w:style>
  <w:style w:type="paragraph" w:styleId="FootnoteText">
    <w:name w:val="footnote text"/>
    <w:basedOn w:val="Normal"/>
    <w:link w:val="FootnoteTextChar"/>
    <w:rsid w:val="00DD42A2"/>
    <w:rPr>
      <w:sz w:val="20"/>
      <w:szCs w:val="20"/>
    </w:rPr>
  </w:style>
  <w:style w:type="character" w:customStyle="1" w:styleId="FootnoteTextChar">
    <w:name w:val="Footnote Text Char"/>
    <w:basedOn w:val="DefaultParagraphFont"/>
    <w:link w:val="FootnoteText"/>
    <w:rsid w:val="00DD42A2"/>
    <w:rPr>
      <w:rFonts w:ascii="Times New Roman" w:eastAsia="Calibri" w:hAnsi="Times New Roman" w:cs="Calibri"/>
      <w:sz w:val="20"/>
      <w:szCs w:val="20"/>
      <w:lang w:eastAsia="ar-SA"/>
    </w:rPr>
  </w:style>
  <w:style w:type="paragraph" w:customStyle="1" w:styleId="a0">
    <w:name w:val="Обычный (веб)"/>
    <w:basedOn w:val="Normal"/>
    <w:rsid w:val="00DD42A2"/>
    <w:pPr>
      <w:spacing w:before="280" w:after="28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A2"/>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D42A2"/>
    <w:rPr>
      <w:rFonts w:cs="Times New Roman"/>
    </w:rPr>
  </w:style>
  <w:style w:type="character" w:customStyle="1" w:styleId="a">
    <w:name w:val="Символ сноски"/>
    <w:basedOn w:val="DefaultParagraphFont"/>
    <w:rsid w:val="00DD42A2"/>
    <w:rPr>
      <w:vertAlign w:val="superscript"/>
    </w:rPr>
  </w:style>
  <w:style w:type="character" w:customStyle="1" w:styleId="hpsatn">
    <w:name w:val="hps atn"/>
    <w:basedOn w:val="DefaultParagraphFont"/>
    <w:rsid w:val="00DD42A2"/>
  </w:style>
  <w:style w:type="paragraph" w:styleId="FootnoteText">
    <w:name w:val="footnote text"/>
    <w:basedOn w:val="Normal"/>
    <w:link w:val="FootnoteTextChar"/>
    <w:rsid w:val="00DD42A2"/>
    <w:rPr>
      <w:sz w:val="20"/>
      <w:szCs w:val="20"/>
    </w:rPr>
  </w:style>
  <w:style w:type="character" w:customStyle="1" w:styleId="FootnoteTextChar">
    <w:name w:val="Footnote Text Char"/>
    <w:basedOn w:val="DefaultParagraphFont"/>
    <w:link w:val="FootnoteText"/>
    <w:rsid w:val="00DD42A2"/>
    <w:rPr>
      <w:rFonts w:ascii="Times New Roman" w:eastAsia="Calibri" w:hAnsi="Times New Roman" w:cs="Calibri"/>
      <w:sz w:val="20"/>
      <w:szCs w:val="20"/>
      <w:lang w:eastAsia="ar-SA"/>
    </w:rPr>
  </w:style>
  <w:style w:type="paragraph" w:customStyle="1" w:styleId="a0">
    <w:name w:val="Обычный (веб)"/>
    <w:basedOn w:val="Normal"/>
    <w:rsid w:val="00DD42A2"/>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3920</Words>
  <Characters>22348</Characters>
  <Application>Microsoft Macintosh Word</Application>
  <DocSecurity>0</DocSecurity>
  <Lines>186</Lines>
  <Paragraphs>52</Paragraphs>
  <ScaleCrop>false</ScaleCrop>
  <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2013-03-06T19:52:00Z</dcterms:created>
  <dcterms:modified xsi:type="dcterms:W3CDTF">2013-03-06T19:52:00Z</dcterms:modified>
</cp:coreProperties>
</file>