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4B" w:rsidRPr="007A414B" w:rsidRDefault="007A414B" w:rsidP="007A414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14B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</w:p>
    <w:p w:rsidR="007A414B" w:rsidRDefault="007A414B" w:rsidP="007A4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0E5" w:rsidRPr="007A414B" w:rsidRDefault="002C7483" w:rsidP="007A4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14B">
        <w:rPr>
          <w:rFonts w:ascii="Times New Roman" w:hAnsi="Times New Roman" w:cs="Times New Roman"/>
          <w:sz w:val="28"/>
          <w:szCs w:val="28"/>
        </w:rPr>
        <w:t>В данной работе исследуется  кинематографизм прозы И. Бродского на материале русских вариантов его эссе</w:t>
      </w:r>
      <w:r w:rsidR="007A414B">
        <w:rPr>
          <w:rFonts w:ascii="Times New Roman" w:hAnsi="Times New Roman" w:cs="Times New Roman"/>
          <w:sz w:val="28"/>
          <w:szCs w:val="28"/>
        </w:rPr>
        <w:t xml:space="preserve"> с обращением к отдельным </w:t>
      </w:r>
      <w:r w:rsidR="007D41DF">
        <w:rPr>
          <w:rFonts w:ascii="Times New Roman" w:hAnsi="Times New Roman" w:cs="Times New Roman"/>
          <w:sz w:val="28"/>
          <w:szCs w:val="28"/>
        </w:rPr>
        <w:t>эссе на английском языке</w:t>
      </w:r>
      <w:bookmarkStart w:id="0" w:name="_GoBack"/>
      <w:bookmarkEnd w:id="0"/>
      <w:r w:rsidRPr="007A414B">
        <w:rPr>
          <w:rFonts w:ascii="Times New Roman" w:hAnsi="Times New Roman" w:cs="Times New Roman"/>
          <w:sz w:val="28"/>
          <w:szCs w:val="28"/>
        </w:rPr>
        <w:t xml:space="preserve">. В понятие «кинематографизм» включаются не только собственно кинематографические мотивы, но и мотивы, связанные с фотографией. Работа состоит из двух глав; в первой главе рассматривается история изучения феномена прозы поэта в целом и прозы И. Бродского в частности. Во второй главе, содержащей два раздела, изучается общие особенности кинематографизма и его специфика в эссе «Набережная неисцелимых». В качестве вывода предлагаются следующие утверждения: кинематографизм в прозе И. Бродского представляет собой особый текстопорождающий принцип, вытекающий из визуального мировосприятия, </w:t>
      </w:r>
      <w:r w:rsidR="007A414B" w:rsidRPr="007A414B">
        <w:rPr>
          <w:rFonts w:ascii="Times New Roman" w:hAnsi="Times New Roman" w:cs="Times New Roman"/>
          <w:sz w:val="28"/>
          <w:szCs w:val="28"/>
        </w:rPr>
        <w:t xml:space="preserve">обусловленного влиянием поэтов-метафизиков, музыки, прозы А. де Ренье, и </w:t>
      </w:r>
      <w:r w:rsidRPr="007A414B">
        <w:rPr>
          <w:rFonts w:ascii="Times New Roman" w:hAnsi="Times New Roman" w:cs="Times New Roman"/>
          <w:sz w:val="28"/>
          <w:szCs w:val="28"/>
        </w:rPr>
        <w:t xml:space="preserve">реализующийся в системе мотивов, </w:t>
      </w:r>
      <w:r w:rsidR="007A414B" w:rsidRPr="007A414B">
        <w:rPr>
          <w:rFonts w:ascii="Times New Roman" w:hAnsi="Times New Roman" w:cs="Times New Roman"/>
          <w:sz w:val="28"/>
          <w:szCs w:val="28"/>
        </w:rPr>
        <w:t xml:space="preserve">которые функционируют на всех уровнях текста, создавая когерентность его элементов не только в рамках отдельного эссе, но и в пределах всего художественного мира поэта. </w:t>
      </w:r>
      <w:r w:rsidRPr="007A414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950E5" w:rsidRPr="007A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F45"/>
    <w:rsid w:val="002C7483"/>
    <w:rsid w:val="00422F45"/>
    <w:rsid w:val="007A414B"/>
    <w:rsid w:val="007D41DF"/>
    <w:rsid w:val="00CF5B51"/>
    <w:rsid w:val="00E9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2011-05-14T18:29:00Z</dcterms:created>
  <dcterms:modified xsi:type="dcterms:W3CDTF">2011-05-14T19:03:00Z</dcterms:modified>
</cp:coreProperties>
</file>